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3000D5">
        <w:rPr>
          <w:rFonts w:ascii="Times New Roman" w:eastAsia="Times New Roman" w:hAnsi="Times New Roman" w:cs="Times New Roman"/>
          <w:sz w:val="32"/>
          <w:szCs w:val="32"/>
          <w:lang w:eastAsia="ru-RU"/>
        </w:rPr>
        <w:t>23.09.2021</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на </w:t>
      </w:r>
      <w:r w:rsidR="00E145C3" w:rsidRPr="008547D4">
        <w:rPr>
          <w:rFonts w:ascii="Times New Roman" w:eastAsia="Times New Roman" w:hAnsi="Times New Roman" w:cs="Times New Roman"/>
          <w:b/>
          <w:bCs/>
          <w:sz w:val="24"/>
          <w:szCs w:val="24"/>
          <w:lang w:eastAsia="ru-RU"/>
        </w:rPr>
        <w:t xml:space="preserve">включение в кадровый резерв для </w:t>
      </w:r>
      <w:r w:rsidRPr="00FB0EAC">
        <w:rPr>
          <w:rFonts w:ascii="Times New Roman" w:eastAsia="Times New Roman" w:hAnsi="Times New Roman" w:cs="Times New Roman"/>
          <w:b/>
          <w:bCs/>
          <w:sz w:val="24"/>
          <w:szCs w:val="24"/>
          <w:lang w:eastAsia="ru-RU"/>
        </w:rPr>
        <w:t xml:space="preserve">замещения вакантной должности федеральной государственной гражданской службы Российской </w:t>
      </w:r>
      <w:r w:rsidR="00B74C97">
        <w:rPr>
          <w:rFonts w:ascii="Times New Roman" w:eastAsia="Times New Roman" w:hAnsi="Times New Roman" w:cs="Times New Roman"/>
          <w:b/>
          <w:bCs/>
          <w:sz w:val="24"/>
          <w:szCs w:val="24"/>
          <w:lang w:eastAsia="ru-RU"/>
        </w:rPr>
        <w:t>старшей</w:t>
      </w:r>
      <w:r w:rsidR="00634ED3">
        <w:rPr>
          <w:rFonts w:ascii="Times New Roman" w:eastAsia="Times New Roman" w:hAnsi="Times New Roman" w:cs="Times New Roman"/>
          <w:b/>
          <w:bCs/>
          <w:sz w:val="24"/>
          <w:szCs w:val="24"/>
          <w:lang w:eastAsia="ru-RU"/>
        </w:rPr>
        <w:t xml:space="preserve"> группы должностей</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407069">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407069">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407069">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407069">
        <w:trPr>
          <w:trHeight w:val="330"/>
        </w:trPr>
        <w:tc>
          <w:tcPr>
            <w:tcW w:w="15594" w:type="dxa"/>
            <w:gridSpan w:val="9"/>
          </w:tcPr>
          <w:p w:rsidR="002F04A3" w:rsidRPr="002F04A3" w:rsidRDefault="00B74C97" w:rsidP="00B74C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Отдел контроля и надзора в сфере использования РЭС и ВЧУ</w:t>
            </w:r>
          </w:p>
        </w:tc>
      </w:tr>
      <w:tr w:rsidR="002F04A3" w:rsidRPr="002F04A3" w:rsidTr="00407069">
        <w:trPr>
          <w:trHeight w:val="415"/>
        </w:trPr>
        <w:tc>
          <w:tcPr>
            <w:tcW w:w="421" w:type="dxa"/>
          </w:tcPr>
          <w:p w:rsidR="002F04A3" w:rsidRPr="002F04A3" w:rsidRDefault="002F04A3"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2F04A3" w:rsidRDefault="0016762A" w:rsidP="002F04A3">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Ведущий специалист-эксперт отдела контроля и надзора в сфере использования РЭС и ВЧУ</w:t>
            </w:r>
          </w:p>
          <w:p w:rsidR="00B74C97" w:rsidRPr="002F04A3" w:rsidRDefault="00B74C97" w:rsidP="002F04A3">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2F04A3" w:rsidRPr="002F04A3" w:rsidRDefault="002F04A3" w:rsidP="002F04A3">
            <w:pPr>
              <w:jc w:val="center"/>
              <w:rPr>
                <w:rFonts w:ascii="Times New Roman" w:eastAsia="Times New Roman" w:hAnsi="Times New Roman" w:cs="Times New Roman"/>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sidR="0016762A">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A90D8E" w:rsidRDefault="001A6540" w:rsidP="002F04A3">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r w:rsidR="00A90D8E">
              <w:rPr>
                <w:rFonts w:ascii="Times New Roman" w:eastAsia="Calibri" w:hAnsi="Times New Roman" w:cs="Times New Roman"/>
                <w:sz w:val="20"/>
                <w:szCs w:val="20"/>
              </w:rPr>
              <w:t>:</w:t>
            </w:r>
          </w:p>
          <w:p w:rsidR="002F04A3" w:rsidRPr="002F04A3" w:rsidRDefault="00A90D8E" w:rsidP="002F04A3">
            <w:pPr>
              <w:jc w:val="center"/>
              <w:rPr>
                <w:rFonts w:ascii="Times New Roman" w:eastAsia="Calibri" w:hAnsi="Times New Roman" w:cs="Times New Roman"/>
                <w:sz w:val="20"/>
                <w:szCs w:val="20"/>
              </w:rPr>
            </w:pPr>
            <w:proofErr w:type="gramStart"/>
            <w:r w:rsidRPr="00A90D8E">
              <w:rPr>
                <w:rFonts w:ascii="Times New Roman" w:eastAsia="Calibri" w:hAnsi="Times New Roman" w:cs="Times New Roman"/>
                <w:sz w:val="20"/>
                <w:szCs w:val="20"/>
              </w:rPr>
              <w:t xml:space="preserve">по направлениям подготовки (специальностям) профессионального образования «Инфокоммуникационные технологии и системы связи», «Радиотехника»,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w:t>
            </w:r>
            <w:r w:rsidRPr="00A90D8E">
              <w:rPr>
                <w:rFonts w:ascii="Times New Roman" w:eastAsia="Calibri" w:hAnsi="Times New Roman" w:cs="Times New Roman"/>
                <w:sz w:val="20"/>
                <w:szCs w:val="20"/>
              </w:rPr>
              <w:lastRenderedPageBreak/>
              <w:t>«Специальные радиотехнические системы», «Информационные системы и технологии», «Информационная безопасность»</w:t>
            </w:r>
            <w:proofErr w:type="gramEnd"/>
          </w:p>
        </w:tc>
        <w:tc>
          <w:tcPr>
            <w:tcW w:w="4668" w:type="dxa"/>
          </w:tcPr>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lastRenderedPageBreak/>
              <w:t>1) Кодекса Российской Федерации об административных правонарушениях;</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 Федерального закона от 17.07.1999 № 176-ФЗ «О почтовой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3) Федерального закона от 07.08.2001 № 115-ФЗ «О противодействии легализации (отмыванию) доходов, полученных преступных путем, и финансированию терроризма»;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4) Федерального закона от 07.07.2003 № 126-ФЗ «О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5) Федерального закона от 02.05.2006 № 59-ФЗ «О порядке рассмотрения обращений граждан Российской Федерации»;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6) Федерального закона от 27.07.2006 № 149-ФЗ «Об информации, информационных технологиях и о защите информации»;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7) Федерального закона от 26.06.2008 № 102-ФЗ «Об обеспечении единства измерений»;</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8) Федерального закона от 31.07.2020 № 248-ФЗ «О государственном контроле (надзоре) и муниципальном контроле в Российской Федерации»;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9) Федерального закона от 29.12.2010 № 436-ФЗ «О защите детей от информации, причиняющей вред их здоровью и развитию»;</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10)</w:t>
            </w:r>
            <w:r w:rsidRPr="00C6398F">
              <w:rPr>
                <w:rFonts w:ascii="Times New Roman" w:eastAsia="Times New Roman" w:hAnsi="Times New Roman" w:cs="Times New Roman"/>
                <w:bCs/>
                <w:sz w:val="20"/>
                <w:szCs w:val="20"/>
                <w:lang w:eastAsia="ru-RU"/>
              </w:rPr>
              <w:tab/>
              <w:t xml:space="preserve">Федерального закона РФ от 25.07.2002 № 114-ФЗ «О противодействии экстремисткой </w:t>
            </w:r>
            <w:r w:rsidRPr="00C6398F">
              <w:rPr>
                <w:rFonts w:ascii="Times New Roman" w:eastAsia="Times New Roman" w:hAnsi="Times New Roman" w:cs="Times New Roman"/>
                <w:bCs/>
                <w:sz w:val="20"/>
                <w:szCs w:val="20"/>
                <w:lang w:eastAsia="ru-RU"/>
              </w:rPr>
              <w:lastRenderedPageBreak/>
              <w:t>деятельности»;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11)</w:t>
            </w:r>
            <w:r w:rsidRPr="00C6398F">
              <w:rPr>
                <w:rFonts w:ascii="Times New Roman" w:eastAsia="Times New Roman" w:hAnsi="Times New Roman" w:cs="Times New Roman"/>
                <w:bCs/>
                <w:sz w:val="20"/>
                <w:szCs w:val="20"/>
                <w:lang w:eastAsia="ru-RU"/>
              </w:rPr>
              <w:tab/>
              <w:t>Федерального закона РФ от 06.03.2006 № 35-ФЗ «О противодействии терроризму»;</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12)</w:t>
            </w:r>
            <w:r w:rsidRPr="00C6398F">
              <w:rPr>
                <w:rFonts w:ascii="Times New Roman" w:eastAsia="Times New Roman" w:hAnsi="Times New Roman" w:cs="Times New Roman"/>
                <w:bCs/>
                <w:sz w:val="20"/>
                <w:szCs w:val="20"/>
                <w:lang w:eastAsia="ru-RU"/>
              </w:rPr>
              <w:tab/>
              <w:t>Федеральный закон от 23 июня 2016 N 182-ФЗ «Об основах системы профилактики правонарушений в Российской Федерации»;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13) Федерального закона от 04.05.2011 № 99-ФЗ «О лицензировании отдельных видов деятельности»;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14) Постановления Правительства Российской Федерации от 01.04.2005 № 175 «Об утверждении Правил осуществления </w:t>
            </w:r>
            <w:proofErr w:type="spellStart"/>
            <w:r w:rsidRPr="00C6398F">
              <w:rPr>
                <w:rFonts w:ascii="Times New Roman" w:eastAsia="Times New Roman" w:hAnsi="Times New Roman" w:cs="Times New Roman"/>
                <w:bCs/>
                <w:sz w:val="20"/>
                <w:szCs w:val="20"/>
                <w:lang w:eastAsia="ru-RU"/>
              </w:rPr>
              <w:t>радиоконтроля</w:t>
            </w:r>
            <w:proofErr w:type="spellEnd"/>
            <w:r w:rsidRPr="00C6398F">
              <w:rPr>
                <w:rFonts w:ascii="Times New Roman" w:eastAsia="Times New Roman" w:hAnsi="Times New Roman" w:cs="Times New Roman"/>
                <w:bCs/>
                <w:sz w:val="20"/>
                <w:szCs w:val="20"/>
                <w:lang w:eastAsia="ru-RU"/>
              </w:rPr>
              <w:t xml:space="preserve"> в Российской Федерации»;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15) Постановления Правительства РФ 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16) Постановления Правительства РФ от 28.03.2005 № 161 «Об утверждении правил присоединения сетей электросвязи и их взаимодействия»;</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17) Постановления Правительства РФ от 21.04.2005 № 241 «О мерах по организации оказания универсальных услуг связи» (ред. от 01.12.2014);</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18) Постановления Правительства РФ от 27.08.2005 №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19) Постановления Правительства РФ от 23.01.2006 № 32 «Об утверждении правил оказания услуг связи по передаче данных»;</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20) Постановления Правительства РФ от 10.09.2007 № 575 «Об утверждении правил оказания </w:t>
            </w:r>
            <w:proofErr w:type="spellStart"/>
            <w:r w:rsidRPr="00C6398F">
              <w:rPr>
                <w:rFonts w:ascii="Times New Roman" w:eastAsia="Times New Roman" w:hAnsi="Times New Roman" w:cs="Times New Roman"/>
                <w:bCs/>
                <w:sz w:val="20"/>
                <w:szCs w:val="20"/>
                <w:lang w:eastAsia="ru-RU"/>
              </w:rPr>
              <w:t>телематических</w:t>
            </w:r>
            <w:proofErr w:type="spellEnd"/>
            <w:r w:rsidRPr="00C6398F">
              <w:rPr>
                <w:rFonts w:ascii="Times New Roman" w:eastAsia="Times New Roman" w:hAnsi="Times New Roman" w:cs="Times New Roman"/>
                <w:bCs/>
                <w:sz w:val="20"/>
                <w:szCs w:val="20"/>
                <w:lang w:eastAsia="ru-RU"/>
              </w:rPr>
              <w:t xml:space="preserve"> услуг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21) Постановления Правительства РФ от 26.10.2012 № 1101 «О единой автоматизированной информационной системе»;</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22) Постановления Правительства РФ от 29.06.2021 № 1045 «О федеральном государственном контроле (надзоре) в области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23) Распоряжения Правительства РФ от 15.04.2013 № 611 «Об утверждении перечня нарушений целостности, устойчивости функционирования и безопасности единой сети электросвязи Российской Федерации»;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24) Приказа </w:t>
            </w:r>
            <w:proofErr w:type="spellStart"/>
            <w:r w:rsidRPr="00C6398F">
              <w:rPr>
                <w:rFonts w:ascii="Times New Roman" w:eastAsia="Times New Roman" w:hAnsi="Times New Roman" w:cs="Times New Roman"/>
                <w:bCs/>
                <w:sz w:val="20"/>
                <w:szCs w:val="20"/>
                <w:lang w:eastAsia="ru-RU"/>
              </w:rPr>
              <w:t>Минкомсвязи</w:t>
            </w:r>
            <w:proofErr w:type="spellEnd"/>
            <w:r w:rsidRPr="00C6398F">
              <w:rPr>
                <w:rFonts w:ascii="Times New Roman" w:eastAsia="Times New Roman" w:hAnsi="Times New Roman" w:cs="Times New Roman"/>
                <w:bCs/>
                <w:sz w:val="20"/>
                <w:szCs w:val="20"/>
                <w:lang w:eastAsia="ru-RU"/>
              </w:rPr>
              <w:t xml:space="preserve"> от 09.01.2008 № 1 «Об утверждении требований по защите сетей связи от </w:t>
            </w:r>
            <w:r w:rsidRPr="00C6398F">
              <w:rPr>
                <w:rFonts w:ascii="Times New Roman" w:eastAsia="Times New Roman" w:hAnsi="Times New Roman" w:cs="Times New Roman"/>
                <w:bCs/>
                <w:sz w:val="20"/>
                <w:szCs w:val="20"/>
                <w:lang w:eastAsia="ru-RU"/>
              </w:rPr>
              <w:lastRenderedPageBreak/>
              <w:t>несанкционированного доступа к ним и передаваемой посредством их информации»;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25) Приказа </w:t>
            </w:r>
            <w:proofErr w:type="spellStart"/>
            <w:r w:rsidRPr="00C6398F">
              <w:rPr>
                <w:rFonts w:ascii="Times New Roman" w:eastAsia="Times New Roman" w:hAnsi="Times New Roman" w:cs="Times New Roman"/>
                <w:bCs/>
                <w:sz w:val="20"/>
                <w:szCs w:val="20"/>
                <w:lang w:eastAsia="ru-RU"/>
              </w:rPr>
              <w:t>Минкомсвязи</w:t>
            </w:r>
            <w:proofErr w:type="spellEnd"/>
            <w:r w:rsidRPr="00C6398F">
              <w:rPr>
                <w:rFonts w:ascii="Times New Roman" w:eastAsia="Times New Roman" w:hAnsi="Times New Roman" w:cs="Times New Roman"/>
                <w:bCs/>
                <w:sz w:val="20"/>
                <w:szCs w:val="20"/>
                <w:lang w:eastAsia="ru-RU"/>
              </w:rPr>
              <w:t xml:space="preserve"> от 09.01.2008 № 137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26) Приказа </w:t>
            </w:r>
            <w:proofErr w:type="spellStart"/>
            <w:r w:rsidRPr="00C6398F">
              <w:rPr>
                <w:rFonts w:ascii="Times New Roman" w:eastAsia="Times New Roman" w:hAnsi="Times New Roman" w:cs="Times New Roman"/>
                <w:bCs/>
                <w:sz w:val="20"/>
                <w:szCs w:val="20"/>
                <w:lang w:eastAsia="ru-RU"/>
              </w:rPr>
              <w:t>Минкомсвязи</w:t>
            </w:r>
            <w:proofErr w:type="spellEnd"/>
            <w:r w:rsidRPr="00C6398F">
              <w:rPr>
                <w:rFonts w:ascii="Times New Roman" w:eastAsia="Times New Roman" w:hAnsi="Times New Roman" w:cs="Times New Roman"/>
                <w:bCs/>
                <w:sz w:val="20"/>
                <w:szCs w:val="20"/>
                <w:lang w:eastAsia="ru-RU"/>
              </w:rPr>
              <w:t xml:space="preserve"> от 26.08.2014 № 258 «Об утверждении Требований к порядку ввода сетей электросвязи в эксплуатацию»;</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27) Положения об Управлении Федеральной службы по надзору в сфере связи, информационных технологий и массовых коммуникаций по Пермскому краю, </w:t>
            </w:r>
            <w:proofErr w:type="gramStart"/>
            <w:r w:rsidRPr="00C6398F">
              <w:rPr>
                <w:rFonts w:ascii="Times New Roman" w:eastAsia="Times New Roman" w:hAnsi="Times New Roman" w:cs="Times New Roman"/>
                <w:bCs/>
                <w:sz w:val="20"/>
                <w:szCs w:val="20"/>
                <w:lang w:eastAsia="ru-RU"/>
              </w:rPr>
              <w:t>утвержденное</w:t>
            </w:r>
            <w:proofErr w:type="gramEnd"/>
            <w:r w:rsidRPr="00C6398F">
              <w:rPr>
                <w:rFonts w:ascii="Times New Roman" w:eastAsia="Times New Roman" w:hAnsi="Times New Roman" w:cs="Times New Roman"/>
                <w:bCs/>
                <w:sz w:val="20"/>
                <w:szCs w:val="20"/>
                <w:lang w:eastAsia="ru-RU"/>
              </w:rPr>
              <w:t xml:space="preserve"> приказом </w:t>
            </w:r>
            <w:proofErr w:type="spellStart"/>
            <w:r w:rsidRPr="00C6398F">
              <w:rPr>
                <w:rFonts w:ascii="Times New Roman" w:eastAsia="Times New Roman" w:hAnsi="Times New Roman" w:cs="Times New Roman"/>
                <w:bCs/>
                <w:sz w:val="20"/>
                <w:szCs w:val="20"/>
                <w:lang w:eastAsia="ru-RU"/>
              </w:rPr>
              <w:t>Роскомнадзора</w:t>
            </w:r>
            <w:proofErr w:type="spellEnd"/>
            <w:r w:rsidRPr="00C6398F">
              <w:rPr>
                <w:rFonts w:ascii="Times New Roman" w:eastAsia="Times New Roman" w:hAnsi="Times New Roman" w:cs="Times New Roman"/>
                <w:bCs/>
                <w:sz w:val="20"/>
                <w:szCs w:val="20"/>
                <w:lang w:eastAsia="ru-RU"/>
              </w:rPr>
              <w:t xml:space="preserve"> от 25 января 2016 г. № 54;</w:t>
            </w:r>
          </w:p>
          <w:p w:rsidR="002F04A3" w:rsidRPr="002F04A3"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28) иных нормативно-правовых актов, устанавливающих обязательные требования в сфере связи.</w:t>
            </w:r>
          </w:p>
        </w:tc>
        <w:tc>
          <w:tcPr>
            <w:tcW w:w="3686" w:type="dxa"/>
          </w:tcPr>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операторами связи требований к пропуску трафика и его маршрутизации;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соблюдением </w:t>
            </w:r>
            <w:proofErr w:type="gramStart"/>
            <w:r w:rsidRPr="001A6540">
              <w:rPr>
                <w:rFonts w:ascii="Times New Roman" w:eastAsia="Times New Roman" w:hAnsi="Times New Roman" w:cs="Times New Roman"/>
                <w:bCs/>
                <w:sz w:val="20"/>
                <w:szCs w:val="20"/>
                <w:lang w:eastAsia="ru-RU"/>
              </w:rPr>
              <w:t>порядка распределения ресурса нумерации единой сети электросвязи Российской Федерации</w:t>
            </w:r>
            <w:proofErr w:type="gramEnd"/>
            <w:r w:rsidRPr="001A6540">
              <w:rPr>
                <w:rFonts w:ascii="Times New Roman" w:eastAsia="Times New Roman" w:hAnsi="Times New Roman" w:cs="Times New Roman"/>
                <w:bCs/>
                <w:sz w:val="20"/>
                <w:szCs w:val="20"/>
                <w:lang w:eastAsia="ru-RU"/>
              </w:rPr>
              <w:t>;</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соответствием использования операторами связи выделенного им ресурса нумерации установленному порядку </w:t>
            </w:r>
            <w:proofErr w:type="gramStart"/>
            <w:r w:rsidRPr="001A6540">
              <w:rPr>
                <w:rFonts w:ascii="Times New Roman" w:eastAsia="Times New Roman" w:hAnsi="Times New Roman" w:cs="Times New Roman"/>
                <w:bCs/>
                <w:sz w:val="20"/>
                <w:szCs w:val="20"/>
                <w:lang w:eastAsia="ru-RU"/>
              </w:rPr>
              <w:t>использования ресурса нумерации единой сети электросвязи Российской Федерации</w:t>
            </w:r>
            <w:proofErr w:type="gramEnd"/>
            <w:r w:rsidRPr="001A6540">
              <w:rPr>
                <w:rFonts w:ascii="Times New Roman" w:eastAsia="Times New Roman" w:hAnsi="Times New Roman" w:cs="Times New Roman"/>
                <w:bCs/>
                <w:sz w:val="20"/>
                <w:szCs w:val="20"/>
                <w:lang w:eastAsia="ru-RU"/>
              </w:rPr>
              <w:t>;</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выполнением правил присоединения сетей электросвязи к сети связи общего пользования, в том числе условий </w:t>
            </w:r>
            <w:r w:rsidRPr="001A6540">
              <w:rPr>
                <w:rFonts w:ascii="Times New Roman" w:eastAsia="Times New Roman" w:hAnsi="Times New Roman" w:cs="Times New Roman"/>
                <w:bCs/>
                <w:sz w:val="20"/>
                <w:szCs w:val="20"/>
                <w:lang w:eastAsia="ru-RU"/>
              </w:rPr>
              <w:lastRenderedPageBreak/>
              <w:t>присоединения;</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операторами связи правил оказания услуг связи;</w:t>
            </w:r>
          </w:p>
          <w:p w:rsidR="001A6540" w:rsidRPr="001A6540" w:rsidRDefault="001A6540" w:rsidP="00D12EA8">
            <w:pPr>
              <w:jc w:val="both"/>
              <w:rPr>
                <w:rFonts w:ascii="Times New Roman" w:eastAsia="Times New Roman" w:hAnsi="Times New Roman" w:cs="Times New Roman"/>
                <w:bCs/>
                <w:sz w:val="20"/>
                <w:szCs w:val="20"/>
                <w:lang w:eastAsia="ru-RU"/>
              </w:rPr>
            </w:pPr>
            <w:proofErr w:type="gramStart"/>
            <w:r w:rsidRPr="001A6540">
              <w:rPr>
                <w:rFonts w:ascii="Times New Roman" w:eastAsia="Times New Roman" w:hAnsi="Times New Roman" w:cs="Times New Roman"/>
                <w:bCs/>
                <w:sz w:val="20"/>
                <w:szCs w:val="20"/>
                <w:lang w:eastAsia="ru-RU"/>
              </w:rPr>
              <w:t>за использованием в сети связи общего пользования, технологических сетях и сетях связи специального назначения (в случае их</w:t>
            </w:r>
            <w:proofErr w:type="gramEnd"/>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присоединения к сети связи общего пользования) сре</w:t>
            </w:r>
            <w:proofErr w:type="gramStart"/>
            <w:r w:rsidRPr="001A6540">
              <w:rPr>
                <w:rFonts w:ascii="Times New Roman" w:eastAsia="Times New Roman" w:hAnsi="Times New Roman" w:cs="Times New Roman"/>
                <w:bCs/>
                <w:sz w:val="20"/>
                <w:szCs w:val="20"/>
                <w:lang w:eastAsia="ru-RU"/>
              </w:rPr>
              <w:t>дств св</w:t>
            </w:r>
            <w:proofErr w:type="gramEnd"/>
            <w:r w:rsidRPr="001A6540">
              <w:rPr>
                <w:rFonts w:ascii="Times New Roman" w:eastAsia="Times New Roman" w:hAnsi="Times New Roman" w:cs="Times New Roman"/>
                <w:bCs/>
                <w:sz w:val="20"/>
                <w:szCs w:val="20"/>
                <w:lang w:eastAsia="ru-RU"/>
              </w:rPr>
              <w:t>язи, прошедших обязательное подтверждение соответствия установленным требованиям;</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выполнением операторами связи требований к управлению сетями связи;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выполнением операторами связи требований к сетям и средствам связи для проведения оперативно-розыскных мероприятий;</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w:t>
            </w:r>
            <w:proofErr w:type="gramStart"/>
            <w:r w:rsidRPr="001A6540">
              <w:rPr>
                <w:rFonts w:ascii="Times New Roman" w:eastAsia="Times New Roman" w:hAnsi="Times New Roman" w:cs="Times New Roman"/>
                <w:bCs/>
                <w:sz w:val="20"/>
                <w:szCs w:val="20"/>
                <w:lang w:eastAsia="ru-RU"/>
              </w:rPr>
              <w:t>ств гр</w:t>
            </w:r>
            <w:proofErr w:type="gramEnd"/>
            <w:r w:rsidRPr="001A6540">
              <w:rPr>
                <w:rFonts w:ascii="Times New Roman" w:eastAsia="Times New Roman" w:hAnsi="Times New Roman" w:cs="Times New Roman"/>
                <w:bCs/>
                <w:sz w:val="20"/>
                <w:szCs w:val="20"/>
                <w:lang w:eastAsia="ru-RU"/>
              </w:rPr>
              <w:t>ажданского назначения;</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1A6540">
              <w:rPr>
                <w:rFonts w:ascii="Times New Roman" w:eastAsia="Times New Roman" w:hAnsi="Times New Roman" w:cs="Times New Roman"/>
                <w:bCs/>
                <w:sz w:val="20"/>
                <w:szCs w:val="20"/>
                <w:lang w:eastAsia="ru-RU"/>
              </w:rPr>
              <w:t>радиоконтроля</w:t>
            </w:r>
            <w:proofErr w:type="spellEnd"/>
            <w:r w:rsidRPr="001A6540">
              <w:rPr>
                <w:rFonts w:ascii="Times New Roman" w:eastAsia="Times New Roman" w:hAnsi="Times New Roman" w:cs="Times New Roman"/>
                <w:bCs/>
                <w:sz w:val="20"/>
                <w:szCs w:val="20"/>
                <w:lang w:eastAsia="ru-RU"/>
              </w:rPr>
              <w:t>;</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операторами связи требований метрологического обеспечения оборудования, используемого для оказания услуг и учёта объёмов оказанных услуг (длительности соединения и объема трафика);</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исполнением операторами связи, </w:t>
            </w:r>
            <w:r w:rsidRPr="001A6540">
              <w:rPr>
                <w:rFonts w:ascii="Times New Roman" w:eastAsia="Times New Roman" w:hAnsi="Times New Roman" w:cs="Times New Roman"/>
                <w:bCs/>
                <w:sz w:val="20"/>
                <w:szCs w:val="20"/>
                <w:lang w:eastAsia="ru-RU"/>
              </w:rPr>
              <w:lastRenderedPageBreak/>
              <w:t>имеющими право самостоятельно оказывать услуги подвижной радиотелефонной связи,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 xml:space="preserve">оформлять по результатам государственного контроля и надзора докладные записки, акты, предписания, составлять протоколы об административных правонарушениях; </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осуществлять сбор доказательств, подтверждающих выявленные нарушения;</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осуществлять контроль сроков устранения нарушений, указанных в документах по результатам проведения проверок по контролю;</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 xml:space="preserve">по поручению руководства представлять интересы Управления в судах общей юрисдикции и арбитражных судах при рассмотрении дел об административных </w:t>
            </w:r>
            <w:r w:rsidRPr="001A6540">
              <w:rPr>
                <w:rFonts w:ascii="Times New Roman" w:eastAsia="Times New Roman" w:hAnsi="Times New Roman" w:cs="Times New Roman"/>
                <w:bCs/>
                <w:sz w:val="20"/>
                <w:szCs w:val="20"/>
                <w:lang w:eastAsia="ru-RU"/>
              </w:rPr>
              <w:lastRenderedPageBreak/>
              <w:t>правонарушениях, а также в случае необходимости, иных дел, подготавливать установленным порядком проекты доверенностей;</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выявлять и предупреждать административные правонарушения, отнесенные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принимать участие в работе приемочной комиссии по вводу сетей (фрагментов сетей) электросвязи в эксплуатацию;</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готовить проект заключения по результатам работы по вводу сетей (фрагментов сетей) электросвязи в эксплуатацию;</w:t>
            </w:r>
          </w:p>
          <w:p w:rsidR="002F04A3" w:rsidRPr="002F04A3"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вносить сведения о введенных в эксплуатацию сетях (фрагментах сетей) электросвязи в «Реестр</w:t>
            </w:r>
            <w:r>
              <w:rPr>
                <w:rFonts w:ascii="Times New Roman" w:eastAsia="Times New Roman" w:hAnsi="Times New Roman" w:cs="Times New Roman"/>
                <w:bCs/>
                <w:sz w:val="20"/>
                <w:szCs w:val="20"/>
                <w:lang w:eastAsia="ru-RU"/>
              </w:rPr>
              <w:t xml:space="preserve"> сетей связи» ЕИС </w:t>
            </w:r>
            <w:proofErr w:type="spellStart"/>
            <w:r>
              <w:rPr>
                <w:rFonts w:ascii="Times New Roman" w:eastAsia="Times New Roman" w:hAnsi="Times New Roman" w:cs="Times New Roman"/>
                <w:bCs/>
                <w:sz w:val="20"/>
                <w:szCs w:val="20"/>
                <w:lang w:eastAsia="ru-RU"/>
              </w:rPr>
              <w:t>Роскомнадзора</w:t>
            </w:r>
            <w:proofErr w:type="spellEnd"/>
            <w:r>
              <w:rPr>
                <w:rFonts w:ascii="Times New Roman" w:eastAsia="Times New Roman" w:hAnsi="Times New Roman" w:cs="Times New Roman"/>
                <w:bCs/>
                <w:sz w:val="20"/>
                <w:szCs w:val="20"/>
                <w:lang w:eastAsia="ru-RU"/>
              </w:rPr>
              <w:t>.</w:t>
            </w:r>
          </w:p>
        </w:tc>
        <w:tc>
          <w:tcPr>
            <w:tcW w:w="712" w:type="dxa"/>
          </w:tcPr>
          <w:p w:rsidR="002F04A3" w:rsidRPr="002F04A3" w:rsidRDefault="0016762A"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21,0</w:t>
            </w:r>
          </w:p>
        </w:tc>
        <w:tc>
          <w:tcPr>
            <w:tcW w:w="711" w:type="dxa"/>
          </w:tcPr>
          <w:p w:rsidR="002F04A3" w:rsidRPr="002F04A3" w:rsidRDefault="0016762A"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3000D5">
        <w:rPr>
          <w:rFonts w:ascii="Times New Roman" w:eastAsia="Times New Roman" w:hAnsi="Times New Roman" w:cs="Times New Roman"/>
          <w:bCs/>
          <w:sz w:val="24"/>
          <w:szCs w:val="24"/>
          <w:lang w:eastAsia="ru-RU"/>
        </w:rPr>
        <w:t>(</w:t>
      </w:r>
      <w:r w:rsidRPr="003000D5">
        <w:rPr>
          <w:rFonts w:ascii="Times New Roman" w:eastAsia="Times New Roman" w:hAnsi="Times New Roman" w:cs="Times New Roman"/>
          <w:sz w:val="24"/>
          <w:szCs w:val="24"/>
          <w:lang w:eastAsia="ru-RU"/>
        </w:rPr>
        <w:t>ред. от 20.11.2019</w:t>
      </w:r>
      <w:r w:rsidRPr="003000D5">
        <w:rPr>
          <w:rFonts w:ascii="Times New Roman" w:eastAsia="Times New Roman" w:hAnsi="Times New Roman" w:cs="Times New Roman"/>
          <w:bCs/>
          <w:sz w:val="24"/>
          <w:szCs w:val="24"/>
          <w:lang w:eastAsia="ru-RU"/>
        </w:rPr>
        <w:t xml:space="preserve">) </w:t>
      </w:r>
      <w:r w:rsidRPr="003000D5">
        <w:rPr>
          <w:rFonts w:ascii="Times New Roman" w:eastAsia="Times New Roman" w:hAnsi="Times New Roman" w:cs="Times New Roman"/>
          <w:sz w:val="24"/>
          <w:szCs w:val="24"/>
          <w:lang w:eastAsia="ru-RU"/>
        </w:rPr>
        <w:t xml:space="preserve">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lastRenderedPageBreak/>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B74C97">
      <w:pPr>
        <w:shd w:val="clear" w:color="auto" w:fill="FFFFFF"/>
        <w:spacing w:after="150" w:line="240" w:lineRule="auto"/>
        <w:ind w:firstLine="708"/>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23 сентября 2021 года по 13 </w:t>
      </w:r>
      <w:r w:rsidR="00DA51E6">
        <w:rPr>
          <w:rFonts w:ascii="Times New Roman" w:eastAsia="Times New Roman" w:hAnsi="Times New Roman" w:cs="Times New Roman"/>
          <w:b/>
          <w:sz w:val="24"/>
          <w:szCs w:val="24"/>
          <w:lang w:eastAsia="ru-RU"/>
        </w:rPr>
        <w:t xml:space="preserve">октября </w:t>
      </w:r>
      <w:bookmarkStart w:id="0" w:name="_GoBack"/>
      <w:bookmarkEnd w:id="0"/>
      <w:r w:rsidRPr="00B74C97">
        <w:rPr>
          <w:rFonts w:ascii="Times New Roman" w:eastAsia="Times New Roman" w:hAnsi="Times New Roman" w:cs="Times New Roman"/>
          <w:b/>
          <w:sz w:val="24"/>
          <w:szCs w:val="24"/>
          <w:lang w:eastAsia="ru-RU"/>
        </w:rPr>
        <w:t>2021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Почтовый адрес: 614096, г. Пермь, ул. Ленина, д. 68, </w:t>
      </w:r>
      <w:proofErr w:type="spellStart"/>
      <w:r w:rsidRPr="00B74C97">
        <w:rPr>
          <w:rFonts w:ascii="Times New Roman" w:eastAsia="Times New Roman" w:hAnsi="Times New Roman" w:cs="Times New Roman"/>
          <w:sz w:val="24"/>
          <w:szCs w:val="24"/>
          <w:lang w:eastAsia="ru-RU"/>
        </w:rPr>
        <w:t>каб</w:t>
      </w:r>
      <w:proofErr w:type="spellEnd"/>
      <w:r w:rsidRPr="00B74C97">
        <w:rPr>
          <w:rFonts w:ascii="Times New Roman" w:eastAsia="Times New Roman" w:hAnsi="Times New Roman" w:cs="Times New Roman"/>
          <w:sz w:val="24"/>
          <w:szCs w:val="24"/>
          <w:lang w:eastAsia="ru-RU"/>
        </w:rPr>
        <w:t>. 409.</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lastRenderedPageBreak/>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xml:space="preserve">Предполагаемая дата проведения второго этапа конкурса – </w:t>
      </w:r>
      <w:r w:rsidRPr="00B74C97">
        <w:rPr>
          <w:rStyle w:val="a3"/>
          <w:rFonts w:ascii="Times New Roman" w:hAnsi="Times New Roman" w:cs="Times New Roman"/>
          <w:sz w:val="24"/>
          <w:szCs w:val="24"/>
        </w:rPr>
        <w:t>первая декада ноября 2021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19"/>
  </w:num>
  <w:num w:numId="15">
    <w:abstractNumId w:val="4"/>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72FDC"/>
    <w:rsid w:val="00085BC1"/>
    <w:rsid w:val="000928C2"/>
    <w:rsid w:val="000B145B"/>
    <w:rsid w:val="000E6689"/>
    <w:rsid w:val="000F2067"/>
    <w:rsid w:val="001269D3"/>
    <w:rsid w:val="0016762A"/>
    <w:rsid w:val="00183FA6"/>
    <w:rsid w:val="001A6540"/>
    <w:rsid w:val="001B393D"/>
    <w:rsid w:val="001C2565"/>
    <w:rsid w:val="001D05D6"/>
    <w:rsid w:val="001F6E0D"/>
    <w:rsid w:val="00214102"/>
    <w:rsid w:val="00262983"/>
    <w:rsid w:val="002A5E32"/>
    <w:rsid w:val="002F04A3"/>
    <w:rsid w:val="003000D5"/>
    <w:rsid w:val="003B262A"/>
    <w:rsid w:val="003B63C8"/>
    <w:rsid w:val="003E2CBD"/>
    <w:rsid w:val="004A5406"/>
    <w:rsid w:val="005175DC"/>
    <w:rsid w:val="00532854"/>
    <w:rsid w:val="00541C29"/>
    <w:rsid w:val="00553931"/>
    <w:rsid w:val="006067B0"/>
    <w:rsid w:val="00634ED3"/>
    <w:rsid w:val="006E5021"/>
    <w:rsid w:val="007311CC"/>
    <w:rsid w:val="00765242"/>
    <w:rsid w:val="007A6E00"/>
    <w:rsid w:val="007B27A1"/>
    <w:rsid w:val="008172FA"/>
    <w:rsid w:val="00851AB0"/>
    <w:rsid w:val="00851BB2"/>
    <w:rsid w:val="008547D4"/>
    <w:rsid w:val="008974BC"/>
    <w:rsid w:val="008B0C00"/>
    <w:rsid w:val="008B3FD2"/>
    <w:rsid w:val="008C23DC"/>
    <w:rsid w:val="008D6874"/>
    <w:rsid w:val="008F66E4"/>
    <w:rsid w:val="009017CE"/>
    <w:rsid w:val="00935EFA"/>
    <w:rsid w:val="00942584"/>
    <w:rsid w:val="00963C25"/>
    <w:rsid w:val="009A2D54"/>
    <w:rsid w:val="00A02A87"/>
    <w:rsid w:val="00A22704"/>
    <w:rsid w:val="00A25AE2"/>
    <w:rsid w:val="00A44026"/>
    <w:rsid w:val="00A46D95"/>
    <w:rsid w:val="00A778AB"/>
    <w:rsid w:val="00A90D8E"/>
    <w:rsid w:val="00AC610F"/>
    <w:rsid w:val="00AD4547"/>
    <w:rsid w:val="00AE3C7F"/>
    <w:rsid w:val="00B07B66"/>
    <w:rsid w:val="00B12C95"/>
    <w:rsid w:val="00B5277A"/>
    <w:rsid w:val="00B74C97"/>
    <w:rsid w:val="00BA48D4"/>
    <w:rsid w:val="00BB71E3"/>
    <w:rsid w:val="00BF605C"/>
    <w:rsid w:val="00C6398F"/>
    <w:rsid w:val="00C8189F"/>
    <w:rsid w:val="00C963AB"/>
    <w:rsid w:val="00CD37FB"/>
    <w:rsid w:val="00D10FA5"/>
    <w:rsid w:val="00D12EA8"/>
    <w:rsid w:val="00DA51E6"/>
    <w:rsid w:val="00DA5BC1"/>
    <w:rsid w:val="00DB2A5E"/>
    <w:rsid w:val="00DD2F74"/>
    <w:rsid w:val="00E01485"/>
    <w:rsid w:val="00E145C3"/>
    <w:rsid w:val="00E2448B"/>
    <w:rsid w:val="00E2660C"/>
    <w:rsid w:val="00E42DF1"/>
    <w:rsid w:val="00E872E2"/>
    <w:rsid w:val="00E91023"/>
    <w:rsid w:val="00EE6D2D"/>
    <w:rsid w:val="00EE7CCC"/>
    <w:rsid w:val="00EF0F60"/>
    <w:rsid w:val="00F1053C"/>
    <w:rsid w:val="00F225EF"/>
    <w:rsid w:val="00F22681"/>
    <w:rsid w:val="00F3113C"/>
    <w:rsid w:val="00F63F22"/>
    <w:rsid w:val="00F83DB4"/>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Вероника Трапезникова</cp:lastModifiedBy>
  <cp:revision>2</cp:revision>
  <cp:lastPrinted>2017-09-08T06:39:00Z</cp:lastPrinted>
  <dcterms:created xsi:type="dcterms:W3CDTF">2021-09-20T06:30:00Z</dcterms:created>
  <dcterms:modified xsi:type="dcterms:W3CDTF">2021-09-20T06:54:00Z</dcterms:modified>
</cp:coreProperties>
</file>