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bookmarkStart w:id="0" w:name="_GoBack"/>
            <w:bookmarkEnd w:id="0"/>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1B5E00" w:rsidRPr="006014BE">
              <w:rPr>
                <w:b w:val="0"/>
                <w:sz w:val="26"/>
                <w:szCs w:val="26"/>
              </w:rPr>
              <w:t>23</w:t>
            </w:r>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proofErr w:type="gramStart"/>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w:t>
      </w:r>
      <w:proofErr w:type="gramEnd"/>
      <w:r w:rsidR="00617435" w:rsidRPr="006014BE">
        <w:rPr>
          <w:sz w:val="26"/>
          <w:szCs w:val="26"/>
        </w:rPr>
        <w:t xml:space="preserve">.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w:t>
      </w:r>
      <w:proofErr w:type="gramStart"/>
      <w:r w:rsidR="00922168" w:rsidRPr="006014BE">
        <w:rPr>
          <w:rStyle w:val="1"/>
          <w:rFonts w:eastAsia="Arial Unicode MS"/>
          <w:sz w:val="26"/>
          <w:szCs w:val="26"/>
        </w:rPr>
        <w:t>от</w:t>
      </w:r>
      <w:proofErr w:type="gramEnd"/>
      <w:r w:rsidR="00922168" w:rsidRPr="006014BE">
        <w:rPr>
          <w:rStyle w:val="1"/>
          <w:rFonts w:eastAsia="Arial Unicode MS"/>
          <w:sz w:val="26"/>
          <w:szCs w:val="26"/>
        </w:rPr>
        <w:t xml:space="preserve">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 xml:space="preserve">поведения в отношениях с ним в соответствии с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proofErr w:type="gramStart"/>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д)</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з)</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н</w:t>
      </w:r>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п</w:t>
      </w:r>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р</w:t>
      </w:r>
      <w:r w:rsidR="00922168" w:rsidRPr="006014BE">
        <w:rPr>
          <w:sz w:val="26"/>
          <w:szCs w:val="26"/>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922168" w:rsidRPr="006014BE">
        <w:rPr>
          <w:sz w:val="26"/>
          <w:szCs w:val="26"/>
        </w:rPr>
        <w:t>объектов</w:t>
      </w:r>
      <w:proofErr w:type="gramEnd"/>
      <w:r w:rsidR="00922168" w:rsidRPr="006014BE">
        <w:rPr>
          <w:sz w:val="26"/>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 xml:space="preserve">11. </w:t>
      </w:r>
      <w:proofErr w:type="gramStart"/>
      <w:r w:rsidRPr="006014BE">
        <w:rPr>
          <w:sz w:val="26"/>
          <w:szCs w:val="26"/>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необходимо исходить из конституционных положений о том, что человек, его права и свободы являются высшей </w:t>
      </w:r>
      <w:proofErr w:type="gramStart"/>
      <w:r w:rsidRPr="006014BE">
        <w:rPr>
          <w:sz w:val="26"/>
          <w:szCs w:val="26"/>
        </w:rPr>
        <w:t>ценностью</w:t>
      </w:r>
      <w:proofErr w:type="gramEnd"/>
      <w:r w:rsidRPr="006014BE">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w:t>
      </w:r>
      <w:proofErr w:type="gramStart"/>
      <w:r w:rsidRPr="006014BE">
        <w:rPr>
          <w:sz w:val="26"/>
          <w:szCs w:val="26"/>
        </w:rPr>
        <w:t>от</w:t>
      </w:r>
      <w:proofErr w:type="gramEnd"/>
      <w:r w:rsidRPr="006014BE">
        <w:rPr>
          <w:sz w:val="26"/>
          <w:szCs w:val="26"/>
        </w:rPr>
        <w:t>:</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proofErr w:type="gramStart"/>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w:t>
      </w:r>
      <w:proofErr w:type="gramEnd"/>
      <w:r w:rsidRPr="006014BE">
        <w:rPr>
          <w:sz w:val="26"/>
          <w:szCs w:val="26"/>
        </w:rPr>
        <w:t xml:space="preserve">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w:t>
      </w:r>
      <w:proofErr w:type="gramStart"/>
      <w:r w:rsidRPr="006014BE">
        <w:rPr>
          <w:sz w:val="26"/>
          <w:szCs w:val="26"/>
        </w:rPr>
        <w:t>.</w:t>
      </w:r>
      <w:proofErr w:type="gramEnd"/>
      <w:r w:rsidRPr="006014BE">
        <w:rPr>
          <w:sz w:val="26"/>
          <w:szCs w:val="26"/>
        </w:rPr>
        <w:t xml:space="preserve">  </w:t>
      </w:r>
      <w:proofErr w:type="gramStart"/>
      <w:r w:rsidRPr="006014BE">
        <w:rPr>
          <w:sz w:val="26"/>
          <w:szCs w:val="26"/>
        </w:rPr>
        <w:t>а</w:t>
      </w:r>
      <w:proofErr w:type="gramEnd"/>
      <w:r w:rsidRPr="006014BE">
        <w:rPr>
          <w:sz w:val="26"/>
          <w:szCs w:val="26"/>
        </w:rPr>
        <w:t xml:space="preserve">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9"/>
      <w:footerReference w:type="default" r:id="rId10"/>
      <w:pgSz w:w="11905" w:h="16837"/>
      <w:pgMar w:top="1276" w:right="567" w:bottom="1702" w:left="1134" w:header="426"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83" w:rsidRDefault="00A91D83" w:rsidP="00C77D45">
      <w:r>
        <w:separator/>
      </w:r>
    </w:p>
  </w:endnote>
  <w:endnote w:type="continuationSeparator" w:id="0">
    <w:p w:rsidR="00A91D83" w:rsidRDefault="00A91D83" w:rsidP="00C7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BE" w:rsidRDefault="006014BE">
    <w:pPr>
      <w:pStyle w:val="a9"/>
      <w:jc w:val="center"/>
    </w:pPr>
  </w:p>
  <w:p w:rsidR="00F132C8" w:rsidRDefault="00F132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83" w:rsidRDefault="00A91D83"/>
  </w:footnote>
  <w:footnote w:type="continuationSeparator" w:id="0">
    <w:p w:rsidR="00A91D83" w:rsidRDefault="00A91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819"/>
      <w:docPartObj>
        <w:docPartGallery w:val="Page Numbers (Top of Page)"/>
        <w:docPartUnique/>
      </w:docPartObj>
    </w:sdtPr>
    <w:sdtEndPr/>
    <w:sdtContent>
      <w:p w:rsidR="006014BE" w:rsidRDefault="00CC0E07">
        <w:pPr>
          <w:pStyle w:val="ab"/>
          <w:jc w:val="center"/>
        </w:pPr>
        <w:r>
          <w:fldChar w:fldCharType="begin"/>
        </w:r>
        <w:r>
          <w:instrText xml:space="preserve"> PAGE   \* MERGEFORMAT </w:instrText>
        </w:r>
        <w:r>
          <w:fldChar w:fldCharType="separate"/>
        </w:r>
        <w:r>
          <w:rPr>
            <w:noProof/>
          </w:rPr>
          <w:t>5</w:t>
        </w:r>
        <w:r>
          <w:rPr>
            <w:noProof/>
          </w:rPr>
          <w:fldChar w:fldCharType="end"/>
        </w:r>
      </w:p>
    </w:sdtContent>
  </w:sdt>
  <w:p w:rsidR="00D40D0C" w:rsidRDefault="00D40D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77D45"/>
    <w:rsid w:val="00014A2B"/>
    <w:rsid w:val="000963B3"/>
    <w:rsid w:val="0011228C"/>
    <w:rsid w:val="001208D1"/>
    <w:rsid w:val="001B5E00"/>
    <w:rsid w:val="00202F93"/>
    <w:rsid w:val="002C4E51"/>
    <w:rsid w:val="00364CD4"/>
    <w:rsid w:val="003D32FE"/>
    <w:rsid w:val="00402F21"/>
    <w:rsid w:val="00415BA7"/>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757F4"/>
    <w:rsid w:val="00A769F9"/>
    <w:rsid w:val="00A91D83"/>
    <w:rsid w:val="00AA7B2B"/>
    <w:rsid w:val="00AD2347"/>
    <w:rsid w:val="00B76954"/>
    <w:rsid w:val="00B969E2"/>
    <w:rsid w:val="00BC47FF"/>
    <w:rsid w:val="00BD4B60"/>
    <w:rsid w:val="00BF1E32"/>
    <w:rsid w:val="00C77D45"/>
    <w:rsid w:val="00CC0E07"/>
    <w:rsid w:val="00CC0F5C"/>
    <w:rsid w:val="00D40D0C"/>
    <w:rsid w:val="00DC4F16"/>
    <w:rsid w:val="00DD3DF8"/>
    <w:rsid w:val="00ED6F75"/>
    <w:rsid w:val="00F03DED"/>
    <w:rsid w:val="00F132C8"/>
    <w:rsid w:val="00F93E54"/>
    <w:rsid w:val="00FA444E"/>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rFonts w:ascii="Times New Roman" w:eastAsia="Times New Roman" w:hAnsi="Times New Roman" w:cs="Times New Roman"/>
      <w:b w:val="0"/>
      <w:bCs w:val="0"/>
      <w:i w:val="0"/>
      <w:iCs w:val="0"/>
      <w:smallCaps w:val="0"/>
      <w:strike w:val="0"/>
      <w:spacing w:val="50"/>
      <w:sz w:val="28"/>
      <w:szCs w:val="28"/>
    </w:rPr>
  </w:style>
  <w:style w:type="character" w:customStyle="1" w:styleId="1">
    <w:name w:val="Основной текст1"/>
    <w:basedOn w:val="a4"/>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rFonts w:ascii="Times New Roman" w:eastAsia="Times New Roman" w:hAnsi="Times New Roman" w:cs="Times New Roman"/>
      <w:b/>
      <w:bCs/>
      <w:i w:val="0"/>
      <w:iCs w:val="0"/>
      <w:smallCaps w:val="0"/>
      <w:strike w:val="0"/>
      <w:sz w:val="27"/>
      <w:szCs w:val="27"/>
    </w:rPr>
  </w:style>
  <w:style w:type="character" w:customStyle="1" w:styleId="a7">
    <w:name w:val="Основной текст + Курсив"/>
    <w:basedOn w:val="a4"/>
    <w:rsid w:val="00C77D45"/>
    <w:rPr>
      <w:rFonts w:ascii="Times New Roman" w:eastAsia="Times New Roman" w:hAnsi="Times New Roman" w:cs="Times New Roman"/>
      <w:b w:val="0"/>
      <w:bCs w:val="0"/>
      <w:i/>
      <w:iCs/>
      <w:smallCaps w:val="0"/>
      <w:strike w:val="0"/>
      <w:spacing w:val="0"/>
      <w:sz w:val="28"/>
      <w:szCs w:val="28"/>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6A85-3ACB-406A-9813-F0474976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10537</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Шардакова</cp:lastModifiedBy>
  <cp:revision>2</cp:revision>
  <dcterms:created xsi:type="dcterms:W3CDTF">2013-01-28T11:56:00Z</dcterms:created>
  <dcterms:modified xsi:type="dcterms:W3CDTF">2013-01-28T11:56:00Z</dcterms:modified>
</cp:coreProperties>
</file>