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3" w:rsidRDefault="00A90F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F53" w:rsidRDefault="00A90F53">
      <w:pPr>
        <w:pStyle w:val="ConsPlusNormal"/>
        <w:jc w:val="both"/>
        <w:outlineLvl w:val="0"/>
      </w:pPr>
    </w:p>
    <w:p w:rsidR="00A90F53" w:rsidRDefault="00A90F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0F53" w:rsidRDefault="00A90F53">
      <w:pPr>
        <w:pStyle w:val="ConsPlusTitle"/>
        <w:jc w:val="center"/>
      </w:pPr>
    </w:p>
    <w:p w:rsidR="00A90F53" w:rsidRDefault="00A90F53">
      <w:pPr>
        <w:pStyle w:val="ConsPlusTitle"/>
        <w:jc w:val="center"/>
      </w:pPr>
      <w:r>
        <w:t>ПОСТАНОВЛЕНИЕ</w:t>
      </w:r>
    </w:p>
    <w:p w:rsidR="00A90F53" w:rsidRDefault="00A90F53">
      <w:pPr>
        <w:pStyle w:val="ConsPlusTitle"/>
        <w:jc w:val="center"/>
      </w:pPr>
      <w:r>
        <w:t>от 20 октября 2021 г. N 1800</w:t>
      </w:r>
    </w:p>
    <w:p w:rsidR="00A90F53" w:rsidRDefault="00A90F53">
      <w:pPr>
        <w:pStyle w:val="ConsPlusTitle"/>
        <w:jc w:val="center"/>
      </w:pPr>
    </w:p>
    <w:p w:rsidR="00A90F53" w:rsidRDefault="00A90F53">
      <w:pPr>
        <w:pStyle w:val="ConsPlusTitle"/>
        <w:jc w:val="center"/>
      </w:pPr>
      <w:r>
        <w:t>О ПОРЯДКЕ</w:t>
      </w:r>
    </w:p>
    <w:p w:rsidR="00A90F53" w:rsidRDefault="00A90F53">
      <w:pPr>
        <w:pStyle w:val="ConsPlusTitle"/>
        <w:jc w:val="center"/>
      </w:pPr>
      <w:r>
        <w:t>РЕГИСТРАЦИИ РАДИОЭЛЕКТРОННЫХ СРЕДСТВ</w:t>
      </w:r>
    </w:p>
    <w:p w:rsidR="00A90F53" w:rsidRDefault="00A90F53">
      <w:pPr>
        <w:pStyle w:val="ConsPlusTitle"/>
        <w:jc w:val="center"/>
      </w:pPr>
      <w:r>
        <w:t>И ВЫСОКОЧАСТОТНЫХ УСТРОЙСТВ</w:t>
      </w: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>со</w:t>
      </w:r>
      <w:proofErr w:type="gramEnd"/>
      <w:r>
        <w:t xml:space="preserve"> </w:t>
      </w:r>
      <w:hyperlink r:id="rId6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90F53" w:rsidRDefault="00A90F53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A90F53" w:rsidRDefault="00A90F53">
      <w:pPr>
        <w:pStyle w:val="ConsPlusNormal"/>
        <w:spacing w:before="220"/>
        <w:ind w:firstLine="540"/>
        <w:jc w:val="both"/>
      </w:pPr>
      <w:hyperlink w:anchor="P126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2004, N 42, ст. 4137);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июля 2007 г. N 476 "О внесении изменений в постановление Правительства Российской Федерации от 12 октября 2004 г. N 539 "О порядке регистрации радиоэлектронных средств и высокочастотных устройств" (Собрание законодательства Российской Федерации, 2007, N 31, ст. 4093);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</w:t>
      </w:r>
      <w:proofErr w:type="gramStart"/>
      <w:r>
        <w:t>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ст. 4832);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вопросу выдачи разрешений на судовую радиостанцию и бортовую радиостанцию, утвержденных постановлением Правительства Российской Федерации от 17 марта 2010 г. N 160 "О выдаче разрешений на судовую радиостанцию и бортовую радиостанцию" (Собрание законодательства Российской Федерации, 2010, N 13, ст. 1502);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2011 г. N 837 "О внесении изменений в постановление Правительства Российской Федерации от 12 октября 2004 г. N 539" (Собрание законодательства Российской Федерации, 2011, N 43, ст. 6073);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1100 "О внесении изменений в Правила регистрации радиоэлектронных средств и высокочастотных устройств" (Собрание законодательства Российской Федерации, 2012, N 1, ст. 144);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марта 2013 г. N 237 "О внесении изменений в постановление Правительства Российской Федерации от 12 октября 2004 г. N 539" (Собрание законодательства Российской Федерации, 2013, N 12, ст. 1336);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</w:t>
      </w:r>
      <w:proofErr w:type="gramStart"/>
      <w:r>
        <w:t>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N 816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</w:t>
      </w:r>
      <w:proofErr w:type="gramEnd"/>
      <w:r>
        <w:t xml:space="preserve"> законодательства Российской Федерации, 2014, N 34, ст. 4673);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1252 "О внесении изменений в Правила регистрации радиоэлектронных средств и высокочастотных устройств" (Собрание законодательства Российской Федерации, 2014, N 49, ст. 6959);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2015 г. N 1447 "О внесении изменений в постановление Правительства Российской Федерации от 12 октября 2004 г. N 539" (Собрание законодательства Российской Федерации, 2016, N 1, ст. 252);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</w:t>
      </w:r>
      <w:proofErr w:type="gramStart"/>
      <w:r>
        <w:t>постановления Правительства Российской Федерации от 9 июля 2016 г. N 646 "Об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Федерации" (Собрание законодательства Российской Федерации, 2016, N 29, ст. 4823);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ноября 2016 г. N 1118 "О внесении изменений в некоторые акты Правительства Российской Федерации" (Собрание законодательства Российской Федерации, 2016, N 46, ст. 6459);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</w:t>
        </w:r>
      </w:hyperlink>
      <w:r>
        <w:t xml:space="preserve"> </w:t>
      </w:r>
      <w:proofErr w:type="gramStart"/>
      <w:r>
        <w:t>постановления Правительства Российской Федерации от 10 июля 2017 г. N 816 "О порядке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и внесении изменений в постановление Правительства Российской Федерации от 12 октября 2004 г. N 539" (Собрание законодательства Российской Федерации, 2017, N 29</w:t>
      </w:r>
      <w:proofErr w:type="gramEnd"/>
      <w:r>
        <w:t>, ст. 4377);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</w:t>
        </w:r>
      </w:hyperlink>
      <w:r>
        <w:t xml:space="preserve"> </w:t>
      </w:r>
      <w:proofErr w:type="gramStart"/>
      <w:r>
        <w:t>изменений, которые вносятся в акты Правительства Российской Федерации в части регистрации радиоэлектронных средств и высокочастотных устройств, утвержденных постановлением Правительства Российской Федерации от 14 декабря 2017 г. N 1547 "О внесении изменений в некоторые акты Правительства Российской Федерации в части регистрации радиоэлектронных средств и высокочастотных устройств" (Собрание законодательства Российской Федерации, 2017, N 52, ст. 8128);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1633 "О внесении изменений в приложение к перечню радиоэлектронных средств и высокочастотных устройств, подлежащих регистрации" (Собрание законодательства Российской </w:t>
      </w:r>
      <w:r>
        <w:lastRenderedPageBreak/>
        <w:t>Федерации, 2018, N 53, ст. 8673);</w:t>
      </w:r>
    </w:p>
    <w:p w:rsidR="00A90F53" w:rsidRDefault="00A90F5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</w:t>
      </w:r>
      <w:proofErr w:type="gramStart"/>
      <w:r>
        <w:t>изменений,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года, утвержденных постановлением Правительства Российской Федерации от 31 мая 2021 г. N 826 "О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</w:t>
      </w:r>
      <w:proofErr w:type="gramEnd"/>
      <w:r>
        <w:t xml:space="preserve"> проведения в Российской Федерации чемпионата Европы по футболу UEFA 2020 года" (Официальный интернет-портал правовой информации (www.pravo.gov.ru), 2021, 1 июня, N 0001202106010043).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 xml:space="preserve">4. </w:t>
      </w:r>
      <w:hyperlink r:id="rId24" w:history="1">
        <w:r>
          <w:rPr>
            <w:color w:val="0000FF"/>
          </w:rPr>
          <w:t>Пункт 959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>
        <w:t xml:space="preserve"> </w:t>
      </w:r>
      <w:proofErr w:type="gramStart"/>
      <w:r>
        <w:t>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</w:t>
      </w:r>
      <w:proofErr w:type="gramEnd"/>
      <w:r>
        <w:t xml:space="preserve"> </w:t>
      </w:r>
      <w:proofErr w:type="gramStart"/>
      <w:r>
        <w:t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2022 г. и действует в течение 6 лет со дня его вступления в силу.</w:t>
      </w: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jc w:val="right"/>
      </w:pPr>
      <w:r>
        <w:t>Председатель Правительства</w:t>
      </w:r>
    </w:p>
    <w:p w:rsidR="00A90F53" w:rsidRDefault="00A90F53">
      <w:pPr>
        <w:pStyle w:val="ConsPlusNormal"/>
        <w:jc w:val="right"/>
      </w:pPr>
      <w:r>
        <w:t>Российской Федерации</w:t>
      </w:r>
    </w:p>
    <w:p w:rsidR="00A90F53" w:rsidRDefault="00A90F53">
      <w:pPr>
        <w:pStyle w:val="ConsPlusNormal"/>
        <w:jc w:val="right"/>
      </w:pPr>
      <w:r>
        <w:t>М.МИШУСТИН</w:t>
      </w: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jc w:val="right"/>
        <w:outlineLvl w:val="0"/>
      </w:pPr>
      <w:r>
        <w:t>Утверждены</w:t>
      </w:r>
    </w:p>
    <w:p w:rsidR="00A90F53" w:rsidRDefault="00A90F53">
      <w:pPr>
        <w:pStyle w:val="ConsPlusNormal"/>
        <w:jc w:val="right"/>
      </w:pPr>
      <w:r>
        <w:t>постановлением Правительства</w:t>
      </w:r>
    </w:p>
    <w:p w:rsidR="00A90F53" w:rsidRDefault="00A90F53">
      <w:pPr>
        <w:pStyle w:val="ConsPlusNormal"/>
        <w:jc w:val="right"/>
      </w:pPr>
      <w:r>
        <w:t>Российской Федерации</w:t>
      </w:r>
    </w:p>
    <w:p w:rsidR="00A90F53" w:rsidRDefault="00A90F53">
      <w:pPr>
        <w:pStyle w:val="ConsPlusNormal"/>
        <w:jc w:val="right"/>
      </w:pPr>
      <w:r>
        <w:t>от 20 октября 2021 г. N 1800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Title"/>
        <w:jc w:val="center"/>
      </w:pPr>
      <w:bookmarkStart w:id="0" w:name="P51"/>
      <w:bookmarkEnd w:id="0"/>
      <w:r>
        <w:t>ПРАВИЛА</w:t>
      </w:r>
    </w:p>
    <w:p w:rsidR="00A90F53" w:rsidRDefault="00A90F53">
      <w:pPr>
        <w:pStyle w:val="ConsPlusTitle"/>
        <w:jc w:val="center"/>
      </w:pPr>
      <w:r>
        <w:t>РЕГИСТРАЦИИ РАДИОЭЛЕКТРОННЫХ СРЕДСТВ</w:t>
      </w:r>
    </w:p>
    <w:p w:rsidR="00A90F53" w:rsidRDefault="00A90F53">
      <w:pPr>
        <w:pStyle w:val="ConsPlusTitle"/>
        <w:jc w:val="center"/>
      </w:pPr>
      <w:r>
        <w:lastRenderedPageBreak/>
        <w:t>И ВЫСОКОЧАСТОТНЫХ УСТРОЙСТВ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радиоэлектронные средства и высокочастотные устройства), используемых на территории Российской Федерации и территориях, находящихся под юрисдикцией Российской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Под пользователем радиоэлектронного средства и высокочастотного устройства понимается лицо, использующее это средство совместно с владельцем на основании договора.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4. Регистрации подлежат радиоэлектронные средства и высокочастотные устройства, предусмотренные перечнем, утверждаемым Правительством Российской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цифрового развития,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23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20 октября 2021</w:t>
      </w:r>
      <w:proofErr w:type="gramEnd"/>
      <w:r>
        <w:t xml:space="preserve"> г. N 1800 "О порядке регистрации радиоэлектронных средств и высокочастотных устройств".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</w:t>
      </w:r>
      <w:proofErr w:type="gramEnd"/>
      <w:r>
        <w:t xml:space="preserve"> плавания, </w:t>
      </w:r>
      <w:proofErr w:type="gramStart"/>
      <w:r>
        <w:t>судах</w:t>
      </w:r>
      <w:proofErr w:type="gramEnd"/>
      <w:r>
        <w:t xml:space="preserve"> смешанного (река - море) плавания, и бортовых радиостанций, используемых на воздушных судах.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6. Министерство цифрового развития, связи и массовых коммуникаций Российской Федерации устанавливает: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в) формы свидетельств об образовании позывных сигналов.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соответственно - заявление,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Федеральной службы по надзору в сфере связи</w:t>
      </w:r>
      <w:proofErr w:type="gramEnd"/>
      <w:r>
        <w:t>, информационных технологий и массовых коммуникаций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заявление может быть подписано простой электронной подписью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</w:t>
      </w:r>
      <w:proofErr w:type="gramEnd"/>
      <w:r>
        <w:t xml:space="preserve"> муниципальных услуг".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9.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а) наименования, идентификационного номера налогоплательщика и основного государственного регистрационного номера юридического лица - для юридического лица;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б) фамилии, имени, отчества, идентификационного номера налогоплательщика,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в) фамилии, имени, отчества, страхового номера индивидуального лицевого счета гражданина в системе обязательного пенсионного страхования, места жительства, данных документа, удостоверяющего личность гражданина Российской Федерации, - для физических лиц, не являющихся индивидуальными предпринимателями;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г)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д) типа, наименования и номера регистрируемого радиоэлектронного средства и высокочастотного устройства;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е) номера действующей реестровой записи, подлежащей исключению, в случае внесения изменения в записи в реестре зарегистрированных радиоэлектронных средств и высокочастотных устройств;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lastRenderedPageBreak/>
        <w:t>ж) номера и даты разрешения на использование радиочастот или радиочастотных каналов для радиоэлектронных средств, выданных на имя заявителя;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з) номера и даты свидетельства об образовании позывного сигнала;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и) номера и даты решения Государственной комиссии по радиочастотам о выделении полос радиочастот (если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каналов).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11. К заявлению прилагаются: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" w:name="P81"/>
      <w:bookmarkEnd w:id="1"/>
      <w:proofErr w:type="gramStart"/>
      <w:r>
        <w:t>а)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в) копия договора между владельцем радиоэлектронных средств и пользователем радиоэлектронного средства - если предполагается совместное использование радиоэлектронного средства;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г)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если осуществляется регистрация станции спутниковой связи VSAT, работающей в Ku- и (или) Ka-диапазоне.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о регистрации радиоэлектронных средств и высокочастотных устрой</w:t>
      </w:r>
      <w:proofErr w:type="gramStart"/>
      <w:r>
        <w:t>ств сп</w:t>
      </w:r>
      <w:proofErr w:type="gramEnd"/>
      <w:r>
        <w:t>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(или)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осуществляются в автоматическом режиме (при наличии технической возможности). </w:t>
      </w:r>
      <w:proofErr w:type="gramStart"/>
      <w:r>
        <w:t>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связи, информационных технологий и массовых коммуникаций.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автоматической обработки заявления о регистрации радиоэлектронных средств и высокочастотных устройств, поступившего в электронном виде, представленные заявителем сведения рассматриваются в порядке, установленном настоящими Правилами для рассмотрения заявления, поданного на бумажном носителе. </w:t>
      </w:r>
      <w:proofErr w:type="gramStart"/>
      <w:r>
        <w:t>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связи, информационных технологий и массовых коммуникаций в информационно-телекоммуникационной сети "Интернет" не позднее одного рабочего дня со дня поступления заявления в соответствующий территориальный орган Федеральной службы по</w:t>
      </w:r>
      <w:proofErr w:type="gramEnd"/>
      <w:r>
        <w:t xml:space="preserve"> надзору в сфере связи, информационных технологий и массовых коммуникаций.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14. Основанием для отказа в регистрации радиоэлектронных средств и высокочастотных устройств является: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б) непредставление документов, необходимых для регистрации радиоэлектронных средств и (или) высокочастотных устройств в соответствии с настоящими Правилами;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 xml:space="preserve">г) несоответствие сведений о технических характеристиках и параметрах излучений радиоэлектронных средств и (или) высокочастотных устройств требованиям,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</w:t>
      </w:r>
      <w:r>
        <w:lastRenderedPageBreak/>
        <w:t>высокочастотными устройствами без оформления разрешений на использование радиочастот или радиочастотных каналов (при наличии технической</w:t>
      </w:r>
      <w:proofErr w:type="gramEnd"/>
      <w:r>
        <w:t xml:space="preserve"> возможности получения решения Государственной комиссии по радиочастотам о выделении полос радиочастот в структурированном виде (включая технические характеристики и приложения) посредством единой системы межведомственного электронного взаимодействия);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15.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каналов, если такое разрешение требуется, и не должен превышать срок действия решения Государственной комиссии по радиочастотам о выделении полос радиочастот.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16.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81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 Выписка из реестра зарегистрированных радиоэлектронных средств и высокочастотных устройств оформляется отдельно для каждого заявителя.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(территориальным органом Федеральной службы по надзору в сфере связи, информационных технологий и массовых коммуникаций) самостоятельно без подачи заявления владельца радиоэлектронного средства и (или) высокочастотного устройства в срок не более 5 рабочих дней с даты принятия</w:t>
      </w:r>
      <w:proofErr w:type="gramEnd"/>
      <w:r>
        <w:t xml:space="preserve"> </w:t>
      </w:r>
      <w:proofErr w:type="gramStart"/>
      <w:r>
        <w:t>решения о продлении срока действия разрешения на использование радиочастот или радиочастотных каналов на основании заявления, поданного в электронном виде, для радиоэлектронных средств, зарегистрированных после 1 января 2019 г., в случае если сведения об адресе и координатах места установки радиоэлектронного средства, указанные в продленном разрешении на использование радиочастот или радиочастотных каналов, не изменились и имеется согласие пользователя радиочастотного спектра в заявлении</w:t>
      </w:r>
      <w:proofErr w:type="gramEnd"/>
      <w:r>
        <w:t xml:space="preserve"> на продление срока действия разрешения на использование радиочастот или радиочастотных каналов. </w:t>
      </w:r>
      <w:proofErr w:type="gramStart"/>
      <w:r>
        <w:t>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(или)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связи, информационных технологий и массовых коммуникаций в срок не позднее одного рабочего дня со дня внесения изменений в</w:t>
      </w:r>
      <w:proofErr w:type="gramEnd"/>
      <w:r>
        <w:t xml:space="preserve"> запись в реестре зарегистрированных радиоэлектронных средств и высокочастотных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Внесение изменений в запись в реестре зарегистрированных радиоэлектронных средств и высокочастотных устройств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(или) высокочастотных</w:t>
      </w:r>
      <w:proofErr w:type="gramEnd"/>
      <w:r>
        <w:t xml:space="preserve">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lastRenderedPageBreak/>
        <w:t>При внесении изменений в запись в реестре зарегистрированных радиоэлектронных средств и высокочастотных устройств создается новая запись, а ранее действующей записи присваивается статус "исключенная".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18.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</w:t>
      </w:r>
      <w:proofErr w:type="gramStart"/>
      <w:r>
        <w:t>ств пр</w:t>
      </w:r>
      <w:proofErr w:type="gramEnd"/>
      <w:r>
        <w:t>екращаются в следующих случаях: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б)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в)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г) представление заявления о прекращении регистрации радиоэлектронных средств и (или) высокочастотных устрой</w:t>
      </w:r>
      <w:proofErr w:type="gramStart"/>
      <w:r>
        <w:t>ств вл</w:t>
      </w:r>
      <w:proofErr w:type="gramEnd"/>
      <w:r>
        <w:t>адельца радиоэлектронных средств и (или) высокочастотных устройств или пользователя радиоэлектронного средства;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д) обнаружение недостоверных данных в документах, представленных заявителем для регистрации радиоэлектронных средств и (или) высокочастотных устройств;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е)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ж) прекращение действия договоров, указанных </w:t>
      </w:r>
      <w:proofErr w:type="gramStart"/>
      <w:r>
        <w:t>в</w:t>
      </w:r>
      <w:proofErr w:type="gramEnd"/>
      <w:r>
        <w:t xml:space="preserve">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3" w:history="1">
        <w:r>
          <w:rPr>
            <w:color w:val="0000FF"/>
          </w:rPr>
          <w:t>"в"</w:t>
        </w:r>
      </w:hyperlink>
      <w:r>
        <w:t xml:space="preserve"> и </w:t>
      </w:r>
      <w:hyperlink w:anchor="P85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Мотивированное уведомление о прекращении действия регистрации радиоэлектронных средств и (или)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(пользователю) радиоэлектронного средства или владельцу высокочастотного устройства на бумажном носителе или в форме электронного документа способом, соответствующим способу получения выписки из реестра зарегистрированных радиоэлектронных средств и высокочастотных устройств, указанному в заявлении о регистрации</w:t>
      </w:r>
      <w:proofErr w:type="gramEnd"/>
      <w:r>
        <w:t xml:space="preserve"> этих средств или устройств, в срок, установленный </w:t>
      </w:r>
      <w:hyperlink w:anchor="P87" w:history="1">
        <w:r>
          <w:rPr>
            <w:color w:val="0000FF"/>
          </w:rPr>
          <w:t>пунктом 13</w:t>
        </w:r>
      </w:hyperlink>
      <w:r>
        <w:t xml:space="preserve"> настоящих Правил для направления выписки из реестра зарегистрированных радиоэлектронных средств и высокочастотных устройств,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20.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</w:t>
      </w:r>
      <w:r>
        <w:lastRenderedPageBreak/>
        <w:t>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22.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right"/>
        <w:outlineLvl w:val="0"/>
      </w:pPr>
      <w:r>
        <w:t>Утвержден</w:t>
      </w:r>
    </w:p>
    <w:p w:rsidR="00A90F53" w:rsidRDefault="00A90F53">
      <w:pPr>
        <w:pStyle w:val="ConsPlusNormal"/>
        <w:jc w:val="right"/>
      </w:pPr>
      <w:r>
        <w:t>постановлением Правительства</w:t>
      </w:r>
    </w:p>
    <w:p w:rsidR="00A90F53" w:rsidRDefault="00A90F53">
      <w:pPr>
        <w:pStyle w:val="ConsPlusNormal"/>
        <w:jc w:val="right"/>
      </w:pPr>
      <w:r>
        <w:t>Российской Федерации</w:t>
      </w:r>
    </w:p>
    <w:p w:rsidR="00A90F53" w:rsidRDefault="00A90F53">
      <w:pPr>
        <w:pStyle w:val="ConsPlusNormal"/>
        <w:jc w:val="right"/>
      </w:pPr>
      <w:r>
        <w:t>от 20 октября 2021 г. N 1800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Title"/>
        <w:jc w:val="center"/>
      </w:pPr>
      <w:bookmarkStart w:id="6" w:name="P126"/>
      <w:bookmarkEnd w:id="6"/>
      <w:r>
        <w:t>ПЕРЕЧЕНЬ</w:t>
      </w:r>
    </w:p>
    <w:p w:rsidR="00A90F53" w:rsidRDefault="00A90F53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A90F53" w:rsidRDefault="00A90F53">
      <w:pPr>
        <w:pStyle w:val="ConsPlusTitle"/>
        <w:jc w:val="center"/>
      </w:pPr>
      <w:r>
        <w:t>ПОДЛЕЖАЩИХ РЕГИСТРАЦИИ</w:t>
      </w:r>
    </w:p>
    <w:p w:rsidR="00A90F53" w:rsidRDefault="00A90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463"/>
        <w:gridCol w:w="2117"/>
      </w:tblGrid>
      <w:tr w:rsidR="00A90F53"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F53" w:rsidRDefault="00A90F53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23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36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4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24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24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24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24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25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255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256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257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268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299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42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8" w:history="1">
              <w:r>
                <w:rPr>
                  <w:color w:val="0000FF"/>
                </w:rPr>
                <w:t>20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history="1">
              <w:r>
                <w:rPr>
                  <w:color w:val="0000FF"/>
                </w:rPr>
                <w:t>16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59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272" w:history="1">
              <w:r>
                <w:rPr>
                  <w:color w:val="0000FF"/>
                </w:rPr>
                <w:t>26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53" w:history="1">
              <w:r>
                <w:rPr>
                  <w:color w:val="0000FF"/>
                </w:rPr>
                <w:t>15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260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261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26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268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272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27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28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295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300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322" w:history="1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327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41</w:t>
              </w:r>
            </w:hyperlink>
          </w:p>
        </w:tc>
      </w:tr>
      <w:tr w:rsidR="00A90F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53" w:rsidRDefault="00A90F53">
            <w:pPr>
              <w:pStyle w:val="ConsPlusNormal"/>
            </w:pPr>
            <w:r>
              <w:t>Генераторы шума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53" w:rsidRDefault="00A90F53">
            <w:pPr>
              <w:pStyle w:val="ConsPlusNormal"/>
              <w:jc w:val="center"/>
            </w:pPr>
            <w:hyperlink w:anchor="P321" w:history="1">
              <w:r>
                <w:rPr>
                  <w:color w:val="0000FF"/>
                </w:rPr>
                <w:t>37</w:t>
              </w:r>
            </w:hyperlink>
          </w:p>
        </w:tc>
      </w:tr>
    </w:tbl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ind w:firstLine="540"/>
        <w:jc w:val="both"/>
      </w:pPr>
      <w:r>
        <w:t>--------------------------------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7" w:name="P212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</w:t>
      </w:r>
      <w:proofErr w:type="gramStart"/>
      <w:r>
        <w:t>в</w:t>
      </w:r>
      <w:proofErr w:type="gramEnd"/>
      <w:r>
        <w:t xml:space="preserve"> </w:t>
      </w:r>
      <w:hyperlink w:anchor="P223" w:history="1">
        <w:r>
          <w:rPr>
            <w:color w:val="0000FF"/>
          </w:rPr>
          <w:t>приложении</w:t>
        </w:r>
      </w:hyperlink>
      <w:r>
        <w:t>.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jc w:val="right"/>
        <w:outlineLvl w:val="1"/>
      </w:pPr>
      <w:r>
        <w:t>Приложение</w:t>
      </w:r>
    </w:p>
    <w:p w:rsidR="00A90F53" w:rsidRDefault="00A90F53">
      <w:pPr>
        <w:pStyle w:val="ConsPlusNormal"/>
        <w:jc w:val="right"/>
      </w:pPr>
      <w:r>
        <w:t>к перечню радиоэлектронных средств</w:t>
      </w:r>
    </w:p>
    <w:p w:rsidR="00A90F53" w:rsidRDefault="00A90F53">
      <w:pPr>
        <w:pStyle w:val="ConsPlusNormal"/>
        <w:jc w:val="right"/>
      </w:pPr>
      <w:r>
        <w:t>и высокочастотных устройств,</w:t>
      </w:r>
    </w:p>
    <w:p w:rsidR="00A90F53" w:rsidRDefault="00A90F53">
      <w:pPr>
        <w:pStyle w:val="ConsPlusNormal"/>
        <w:jc w:val="right"/>
      </w:pPr>
      <w:r>
        <w:t>подлежащих регистрации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Title"/>
        <w:jc w:val="center"/>
      </w:pPr>
      <w:bookmarkStart w:id="8" w:name="P223"/>
      <w:bookmarkEnd w:id="8"/>
      <w:r>
        <w:t>ИЗЪЯТИЯ</w:t>
      </w:r>
    </w:p>
    <w:p w:rsidR="00A90F53" w:rsidRDefault="00A90F53">
      <w:pPr>
        <w:pStyle w:val="ConsPlusTitle"/>
        <w:jc w:val="center"/>
      </w:pPr>
      <w:r>
        <w:t>ИЗ ПЕРЕЧНЯ РАДИОЭЛЕКТРОННЫХ СРЕДСТВ И ВЫСОКОЧАСТОТНЫХ</w:t>
      </w:r>
    </w:p>
    <w:p w:rsidR="00A90F53" w:rsidRDefault="00A90F53">
      <w:pPr>
        <w:pStyle w:val="ConsPlusTitle"/>
        <w:jc w:val="center"/>
      </w:pPr>
      <w:r>
        <w:t>УСТРОЙСТВ, ПОДЛЕЖАЩИХ РЕГИСТРАЦИИ</w:t>
      </w:r>
    </w:p>
    <w:p w:rsidR="00A90F53" w:rsidRDefault="00A90F53">
      <w:pPr>
        <w:pStyle w:val="ConsPlusNormal"/>
        <w:jc w:val="both"/>
      </w:pPr>
    </w:p>
    <w:p w:rsidR="00A90F53" w:rsidRDefault="00A90F53">
      <w:pPr>
        <w:pStyle w:val="ConsPlusNormal"/>
        <w:ind w:firstLine="540"/>
        <w:jc w:val="both"/>
      </w:pPr>
      <w:bookmarkStart w:id="9" w:name="P227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0" w:name="P228"/>
      <w:bookmarkEnd w:id="10"/>
      <w:r>
        <w:t>2. Абонентские устройства беспроводного доступа в информационно-телекоммуникационную сеть "Интернет", разрешенные в установленном порядке для использования на территории Российской Федерации, с максимальной мощностью излучения передатчика не более 100 мВт.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Под абонентскими станциями (абонентскими устройствами) понимаются радиоэлектронные средства, находящиеся в пользован</w:t>
      </w:r>
      <w:proofErr w:type="gramStart"/>
      <w:r>
        <w:t>ии у а</w:t>
      </w:r>
      <w:proofErr w:type="gramEnd"/>
      <w:r>
        <w:t>бонента.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>3.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2" w:name="P231"/>
      <w:bookmarkEnd w:id="12"/>
      <w:r>
        <w:t>4. Станции сухопутной подвижной связи личного пользования диапазона 26690 - 27410 кГц (СиБи-диапазона),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3" w:name="P232"/>
      <w:bookmarkEnd w:id="13"/>
      <w:r>
        <w:t xml:space="preserve">5. </w:t>
      </w:r>
      <w:proofErr w:type="gramStart"/>
      <w:r>
        <w:t xml:space="preserve"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</w:t>
      </w:r>
      <w:r>
        <w:lastRenderedPageBreak/>
        <w:t>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6.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 xml:space="preserve">7. </w:t>
      </w:r>
      <w:proofErr w:type="gramStart"/>
      <w:r>
        <w:t>Слуховые</w:t>
      </w:r>
      <w:proofErr w:type="gramEnd"/>
      <w:r>
        <w:t xml:space="preserve"> радиотренажеры для людей с дефектами слуха на радиочастотах: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t xml:space="preserve"> </w:t>
      </w:r>
      <w:proofErr w:type="gramStart"/>
      <w: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t xml:space="preserve"> </w:t>
      </w:r>
      <w:proofErr w:type="gramStart"/>
      <w: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t xml:space="preserve"> </w:t>
      </w:r>
      <w:proofErr w:type="gramStart"/>
      <w: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t xml:space="preserve"> </w:t>
      </w:r>
      <w:proofErr w:type="gramStart"/>
      <w: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t xml:space="preserve"> </w:t>
      </w:r>
      <w:proofErr w:type="gramStart"/>
      <w: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t xml:space="preserve"> </w:t>
      </w:r>
      <w:proofErr w:type="gramStart"/>
      <w: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t xml:space="preserve"> </w:t>
      </w:r>
      <w:proofErr w:type="gramStart"/>
      <w: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t xml:space="preserve"> </w:t>
      </w:r>
      <w:proofErr w:type="gramStart"/>
      <w: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t xml:space="preserve"> </w:t>
      </w:r>
      <w:proofErr w:type="gramStart"/>
      <w: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t xml:space="preserve"> 57,4500 МГц; 57,4750 МГц; 57,4875 МГц; 57,5000 МГц с допустимой мощностью излучения передатчика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6" w:name="P236"/>
      <w:bookmarkEnd w:id="16"/>
      <w:r>
        <w:t>8.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Устройства охранной радиосигнализации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Устройства охранной радиосигнализации в полосе радиочастот 868 - 868,2 МГц с максимальной мощностью передатчика 10 мВт и максимальным коэффициентом усиления </w:t>
      </w:r>
      <w:r>
        <w:lastRenderedPageBreak/>
        <w:t>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Устройства охранной радиосигнализации удаленных объектов в полосе радиочастот 149,95 - 150,0625 МГц с максимальной мощностью передатчика 25 мВт и максимальным коэффициентом усиления 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9.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8" w:name="P242"/>
      <w:bookmarkEnd w:id="18"/>
      <w:r>
        <w:t xml:space="preserve">10. </w:t>
      </w:r>
      <w:proofErr w:type="gramStart"/>
      <w:r>
        <w:t>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</w:t>
      </w:r>
      <w:proofErr w:type="gramEnd"/>
      <w:r>
        <w:t xml:space="preserve"> передатчика 10 мВт и максимальным коэффициентом усиления 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19" w:name="P243"/>
      <w:bookmarkEnd w:id="19"/>
      <w:r>
        <w:t>11. Радиомикрофоны:</w:t>
      </w:r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антенны 3 дБ;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внутри закрытых помещений в полосе радиочастот 650 - 758 МГц с максимальной мощностью передатчика 50 мВт и максимальным коэффициентом усиления антенны 3 дБ.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0" w:name="P248"/>
      <w:bookmarkEnd w:id="20"/>
      <w:r>
        <w:t>12. Радиоэлектронные средства технологии "Bluetooth" в полосе радиочастот 2400 - 2483,5 МГц с максимальной эквивалентной изотропно-излучаемой мощностью передатчика не более 2,5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1" w:name="P249"/>
      <w:bookmarkEnd w:id="21"/>
      <w:r>
        <w:t>13. Маломощные радиостанции в полосе радиочастот 433,075 - 434,750 МГц с мощностью излучения передающих устройств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2" w:name="P250"/>
      <w:bookmarkEnd w:id="22"/>
      <w:r>
        <w:t xml:space="preserve">14.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802.11b, IEEE 802.11g, IEEE 802.11n, IEEE 802.11ax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802.11a, IEEE 802.11n, IEEE 802.11ac, IEEE 802.11ax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Пользовательское (оконечное) оборудование передающее, включающее в себя приемное </w:t>
      </w:r>
      <w:r>
        <w:lastRenderedPageBreak/>
        <w:t>устройство, работающее в полосах радиочастот 2300 - 2400 МГц, 2500 - 2690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3" w:name="P253"/>
      <w:bookmarkEnd w:id="23"/>
      <w:r>
        <w:t>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4" w:name="P254"/>
      <w:bookmarkEnd w:id="24"/>
      <w:r>
        <w:t>16.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5" w:name="P255"/>
      <w:bookmarkEnd w:id="25"/>
      <w:r>
        <w:t>17.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6" w:name="P256"/>
      <w:bookmarkEnd w:id="26"/>
      <w:r>
        <w:t>18. Портативные радиостанции в полосе радиочастот 446 - 446,1 МГц с мощностью излучения передающих устройств не более 0,5 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7" w:name="P257"/>
      <w:bookmarkEnd w:id="27"/>
      <w:r>
        <w:t>19.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8" w:name="P258"/>
      <w:bookmarkEnd w:id="28"/>
      <w:r>
        <w:t>20. Станции любительской службы, временно ввозимые на территорию Российской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29" w:name="P259"/>
      <w:bookmarkEnd w:id="29"/>
      <w:r>
        <w:t>21. Высокочастотные устройства при использовании частот 10 кГц и ниже.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0" w:name="P260"/>
      <w:bookmarkEnd w:id="30"/>
      <w:r>
        <w:t>22.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1" w:name="P261"/>
      <w:bookmarkEnd w:id="31"/>
      <w:r>
        <w:t>23. Неспециализированные (любого назначения) оконечные устройства в полосах радиочастот: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26,957 - 27,283 МГц, 40,660 - 40,700 МГц и 433,075 - 434,790 МГц с эквивалентной изотропно-излучаемой мощностью не более минус 17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2400 - 2483,5 МГц с эквивалентной изотропно-излучаемой мощностью не более минус 20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864 - 865 МГц, 868,7 - 869,2 МГц и 5725 - 5875 МГц с максимальной эффективной излучаемой мощностью 25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2" w:name="P265"/>
      <w:bookmarkEnd w:id="32"/>
      <w:r>
        <w:t>24.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используемые на борту воздушных судов в полосах радиочастот 5150 - 5250 МГц, 5250 - 5350 МГц и 5650 - 5825 МГц с максимальной эквивалентной изотропно-излучаемой мощностью не более 100 мВт;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 xml:space="preserve">используемые внутри закрытых помещений в полосах радиочастот 5150 - 5350 МГц, 5650 - </w:t>
      </w:r>
      <w:r>
        <w:lastRenderedPageBreak/>
        <w:t>5850 МГц с максимальной эквивалентной изотропно-излучаемой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3" w:name="P268"/>
      <w:bookmarkEnd w:id="33"/>
      <w:r>
        <w:t xml:space="preserve">25. </w:t>
      </w:r>
      <w:proofErr w:type="gramStart"/>
      <w:r>
        <w:t>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</w:t>
      </w:r>
      <w:proofErr w:type="gramEnd"/>
      <w:r>
        <w:t xml:space="preserve"> с, и </w:t>
      </w:r>
      <w:proofErr w:type="gramStart"/>
      <w:r>
        <w:t>количестве</w:t>
      </w:r>
      <w:proofErr w:type="gramEnd"/>
      <w:r>
        <w:t xml:space="preserve"> каналов псевдослучайной перестройки рабочей частоты не менее 15.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10 мВт/МГц;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4" w:name="P272"/>
      <w:bookmarkEnd w:id="34"/>
      <w:r>
        <w:t xml:space="preserve">26. </w:t>
      </w:r>
      <w:proofErr w:type="gramStart"/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</w:t>
      </w:r>
      <w:proofErr w:type="gramEnd"/>
    </w:p>
    <w:p w:rsidR="00A90F53" w:rsidRDefault="00A90F53">
      <w:pPr>
        <w:pStyle w:val="ConsPlusNormal"/>
        <w:spacing w:before="220"/>
        <w:ind w:firstLine="540"/>
        <w:jc w:val="both"/>
      </w:pPr>
      <w:bookmarkStart w:id="35" w:name="P273"/>
      <w:bookmarkEnd w:id="35"/>
      <w:r>
        <w:t>27. Индукционные устройства в полосе радиочастот: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135 - 140 кГц с максимальной напряженностью магнитного поля 42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140 - 148,5 кГц с максимальной напряженностью магнитного поля 37,7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3155 - 3400 кГц с максимальной напряженностью магнитного поля 13,5 дБ (мкА/м) на расстоянии 10 м для применения внутри закрытых помещений;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148 - 5000 кГц с максимальной напряженностью магнитного поля минус 5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lastRenderedPageBreak/>
        <w:t>5 - 30 МГц с максимальной напряженностью магнитного поля минус 5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7,4 - 8,8 МГц с максимальной напряженностью магнитного поля 9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6" w:name="P285"/>
      <w:bookmarkEnd w:id="36"/>
      <w:r>
        <w:t>28. Устройства для обнаружения передвижения и устройства радиосигнализации: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76 - 77 ГГц с максимальной эквивалентной изотропно-излучаемой мощностью 5 дБВт (автомобильные радары);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77 - 81 ГГц с максимальной спектральной плотностью эквивалентной изотропно-излучаемой мощности минус 33 дБВт/МГц (автомобильные сверхширокополосные радары);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9200 - 9975 МГц с эквивалентной изотропно-излучаемой мощностью не более минус 17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10,54 - 10,56 ГГц и 2440 - 2460 МГц с эквивалентной изотропно-излучаемой мощностью минус 10 дБВт (только на борту речных и морских судов);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22 - 26,65 ГГц со спектральной плотностью эквивалентной изотропно-излучаемой мощности не более минус 41,3 дБм/МГц (автомобильные радары ближнего действия).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7" w:name="P292"/>
      <w:bookmarkEnd w:id="37"/>
      <w:r>
        <w:t>29. Устройства радиочастотной идентификации в полосе радиочастот: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866,6 - 867,4 МГц с эффективной излучаемой мощностью 100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30. Телематические устройства на транспорте в полосе радиочастот 5795 - 5815 МГц с эффективной излучаемой мощностью 200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39" w:name="P296"/>
      <w:bookmarkEnd w:id="39"/>
      <w:r>
        <w:t xml:space="preserve">31. </w:t>
      </w:r>
      <w:proofErr w:type="gramStart"/>
      <w:r>
        <w:t>Беспроводное</w:t>
      </w:r>
      <w:proofErr w:type="gramEnd"/>
      <w:r>
        <w:t xml:space="preserve"> аудиооборудование в полосе радиочастот 863 - 865 МГц с эффективной излучаемой мощностью не более 10 мВт.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0" w:name="P297"/>
      <w:bookmarkEnd w:id="40"/>
      <w:r>
        <w:t>32.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изотропно-излучаемой мощностью передатчика не более минус 43 дБм.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1" w:name="P298"/>
      <w:bookmarkEnd w:id="41"/>
      <w:r>
        <w:t>33. Радиоэлектронные средства интеллектуальных систем на транспорте (ITS) в диапазоне радиочастот 63 - 64 ГГц.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2" w:name="P299"/>
      <w:bookmarkEnd w:id="42"/>
      <w:r>
        <w:t>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3" w:name="P300"/>
      <w:bookmarkEnd w:id="43"/>
      <w:r>
        <w:t xml:space="preserve">35. 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</w:t>
      </w:r>
      <w:r>
        <w:lastRenderedPageBreak/>
        <w:t>500 МГц,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2850 - 3375 МГц с максимальной спектральной плотностью эквивалентной изотропно-излучаемой мощностью передатчика минус 57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3375 - 3950 МГц с максимальной спектральной плотностью эквивалентной изотропно-излучаемой мощностью передатчика минус 61,5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3950 - 4425 МГц с максимальной спектральной плотностью эквивалентной изотропно-излучаемой мощностью передатчика минус 54,5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4425 - 5470 МГц с максимальной спектральной плотностью эквивалентной изотропно-излучаемой мощностью передатчика минус 50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5470 - 6000 МГц с максимальной спектральной плотностью эквивалентной изотропно-излучаемой мощностью передатчика минус 62,5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6000 - 8100 МГц с максимальной спектральной плотностью эквивалентной изотропно-излучаемой мощностью передатчика минус 47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8100 - 8625 МГц с максимальной спектральной плотностью эквивалентной изотропно-излучаемой мощностью передатчика минус 65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8625 - 9150 МГц с максимальной спектральной плотностью эквивалентной изотропно-излучаемой мощностью передатчика минус 47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9150 - 10600 МГц с максимальной спектральной плотностью эквивалентной изотропно-излучаемой мощностью передатчика минус 45 дБм/МГц.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без ограничений по территории: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2850 - 3375 МГц с максимальной спектральной плотностью эквивалентной изотропно-излучаемой мощностью передатчика минус 57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3375 - 4800 МГц с максимальной спектральной плотностью эквивалентной изотропно-излучаемой мощностью передатчика минус 76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4800 - 5475 МГц с максимальной спектральной плотностью эквивалентной изотропно-излучаемой мощностью передатчика минус 50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5475 - 6000 МГц с максимальной спектральной плотностью эквивалентной изотропно-излучаемой мощностью передатчика минус 62,5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6000 - 7250 МГц с максимальной спектральной плотностью эквивалентной изотропно-излучаемой мощностью передатчика минус 47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7250 - 7750 МГц с максимальной спектральной плотностью эквивалентной изотропно-излучаемой мощностью передатчика минус 73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7750 - 8625 МГц с максимальной спектральной плотностью эквивалентной изотропно-излучаемой мощностью передатчика минус 69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8625 - 9150 МГц с максимальной спектральной плотностью эквивалентной изотропно-</w:t>
      </w:r>
      <w:r>
        <w:lastRenderedPageBreak/>
        <w:t>излучаемой мощностью передатчика минус 47 дБм/МГц;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9150 - 10600 МГц с максимальной спектральной плотностью эквивалентной изотропно-излучаемой мощностью передатчика минус 45 дБм/МГц.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36.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4" w:name="P321"/>
      <w:bookmarkEnd w:id="44"/>
      <w:r>
        <w:t>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5" w:name="P322"/>
      <w:bookmarkEnd w:id="45"/>
      <w:r>
        <w:t>38.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6" w:name="P323"/>
      <w:bookmarkEnd w:id="46"/>
      <w:r>
        <w:t>39. Активные медицинские имплантаты и связанное с ними дополнительное оборудование: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402 - 405 МГц с максимальной эквивалентной изотропно-излучаемой мощностью минус 50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полосах радиочастот 401 - 402 МГц, 405 - 406 МГц с максимальной эффективной излучаемой мощностью минус 66 дБВт либо с максимальной эффективной излучаемой мощностью минус 46 дБВт при их использовании внутри помещений;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9 - 315 кГц с максимальной напряженностью магнитного поля 30 дБ (мкА/м) на расстоянии 10 м.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7" w:name="P327"/>
      <w:bookmarkEnd w:id="47"/>
      <w:r>
        <w:t>40. Устройства для измерения уровней жидкостей: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4,8 - 7 ГГц с максимальной мощностью излучения не более минус 60 дБВт и эквивалентной изотропно-излучаемой мощностью не более минус 49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10,5 - 10,6 ГГц с эквивалентной изотропно-излучаемой мощностью не более минус 20 дБВт;</w:t>
      </w:r>
    </w:p>
    <w:p w:rsidR="00A90F53" w:rsidRDefault="00A90F53">
      <w:pPr>
        <w:pStyle w:val="ConsPlusNormal"/>
        <w:spacing w:before="220"/>
        <w:ind w:firstLine="540"/>
        <w:jc w:val="both"/>
      </w:pPr>
      <w:r>
        <w:t>в полосе радиочастот 24,056 - 26,5 ГГц с эквивалентной изотропно-излучаемой мощностью не более 4 дБВт.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8" w:name="P331"/>
      <w:bookmarkEnd w:id="48"/>
      <w:r>
        <w:t>41. Локаторы (измерители) нелинейностей в полосах радиочастот 2404 - 2472 МГц, 902 - 928 МГц с эквивалентной изотропно-излучаемой мощностью не более 5,2 дБВт.</w:t>
      </w:r>
    </w:p>
    <w:p w:rsidR="00A90F53" w:rsidRDefault="00A90F53">
      <w:pPr>
        <w:pStyle w:val="ConsPlusNormal"/>
        <w:spacing w:before="220"/>
        <w:ind w:firstLine="540"/>
        <w:jc w:val="both"/>
      </w:pPr>
      <w:bookmarkStart w:id="49" w:name="P332"/>
      <w:bookmarkEnd w:id="49"/>
      <w:r>
        <w:t>42.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ind w:firstLine="540"/>
        <w:jc w:val="both"/>
      </w:pPr>
    </w:p>
    <w:p w:rsidR="00A90F53" w:rsidRDefault="00A90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22C" w:rsidRDefault="002C422C">
      <w:bookmarkStart w:id="50" w:name="_GoBack"/>
      <w:bookmarkEnd w:id="50"/>
    </w:p>
    <w:sectPr w:rsidR="002C422C" w:rsidSect="00BD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53"/>
    <w:rsid w:val="002C422C"/>
    <w:rsid w:val="00A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B2EF6CA4310C9691FBE2B7BF1E8A41009858CBC17D427606878D2650D42B21580FF6BB643CF8A973B9E39o1fEF" TargetMode="External"/><Relationship Id="rId13" Type="http://schemas.openxmlformats.org/officeDocument/2006/relationships/hyperlink" Target="consultantplus://offline/ref=93BB2EF6CA4310C9691FBE2B7BF1E8A4140C8288B218892D683174D062021DB70091A766B75CD18D8E279C3B1Eo0f6F" TargetMode="External"/><Relationship Id="rId18" Type="http://schemas.openxmlformats.org/officeDocument/2006/relationships/hyperlink" Target="consultantplus://offline/ref=93BB2EF6CA4310C9691FBE2B7BF1E8A417088789BA14892D683174D062021DB71291FF6AB75DCF888F32CA6A5851DFA783940800ECD54F2Bo1f0F" TargetMode="External"/><Relationship Id="rId26" Type="http://schemas.openxmlformats.org/officeDocument/2006/relationships/hyperlink" Target="consultantplus://offline/ref=93BB2EF6CA4310C9691FBE2B7BF1E8A41109888CBF19892D683174D062021DB70091A766B75CD18D8E279C3B1Eo0f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BB2EF6CA4310C9691FBE2B7BF1E8A41600898ABD1F892D683174D062021DB71291FF6AB75DCF8F8B32CA6A5851DFA783940800ECD54F2Bo1f0F" TargetMode="External"/><Relationship Id="rId7" Type="http://schemas.openxmlformats.org/officeDocument/2006/relationships/hyperlink" Target="consultantplus://offline/ref=93BB2EF6CA4310C9691FBE2B7BF1E8A41600848BBF15892D683174D062021DB70091A766B75CD18D8E279C3B1Eo0f6F" TargetMode="External"/><Relationship Id="rId12" Type="http://schemas.openxmlformats.org/officeDocument/2006/relationships/hyperlink" Target="consultantplus://offline/ref=93BB2EF6CA4310C9691FBE2B7BF1E8A4140A858EBD1A892D683174D062021DB70091A766B75CD18D8E279C3B1Eo0f6F" TargetMode="External"/><Relationship Id="rId17" Type="http://schemas.openxmlformats.org/officeDocument/2006/relationships/hyperlink" Target="consultantplus://offline/ref=93BB2EF6CA4310C9691FBE2B7BF1E8A417088089B218892D683174D062021DB71291FF6AB75DCF8D8F32CA6A5851DFA783940800ECD54F2Bo1f0F" TargetMode="External"/><Relationship Id="rId25" Type="http://schemas.openxmlformats.org/officeDocument/2006/relationships/hyperlink" Target="consultantplus://offline/ref=93BB2EF6CA4310C9691FBE2B7BF1E8A41109868EBF1B892D683174D062021DB71291FF6AB75DCF8C8A32CA6A5851DFA783940800ECD54F2Bo1f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B2EF6CA4310C9691FBE2B7BF1E8A41401808CBD1F892D683174D062021DB70091A766B75CD18D8E279C3B1Eo0f6F" TargetMode="External"/><Relationship Id="rId20" Type="http://schemas.openxmlformats.org/officeDocument/2006/relationships/hyperlink" Target="consultantplus://offline/ref=93BB2EF6CA4310C9691FBE2B7BF1E8A41700848FBD1F892D683174D062021DB71291FF6AB75DCF8C8D32CA6A5851DFA783940800ECD54F2Bo1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B2EF6CA4310C9691FBE2B7BF1E8A411088789B31F892D683174D062021DB71291FF6AB65EC4D9D87DCB361C05CCA785940A07F0oDf5F" TargetMode="External"/><Relationship Id="rId11" Type="http://schemas.openxmlformats.org/officeDocument/2006/relationships/hyperlink" Target="consultantplus://offline/ref=93BB2EF6CA4310C9691FBE2B7BF1E8A4140A8188BE1D892D683174D062021DB70091A766B75CD18D8E279C3B1Eo0f6F" TargetMode="External"/><Relationship Id="rId24" Type="http://schemas.openxmlformats.org/officeDocument/2006/relationships/hyperlink" Target="consultantplus://offline/ref=93BB2EF6CA4310C9691FBE2B7BF1E8A41109818EB814892D683174D062021DB71291FF6AB75CCE8F8132CA6A5851DFA783940800ECD54F2Bo1f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BB2EF6CA4310C9691FBE2B7BF1E8A4140F8088BE18892D683174D062021DB70091A766B75CD18D8E279C3B1Eo0f6F" TargetMode="External"/><Relationship Id="rId23" Type="http://schemas.openxmlformats.org/officeDocument/2006/relationships/hyperlink" Target="consultantplus://offline/ref=93BB2EF6CA4310C9691FBE2B7BF1E8A416008787BF19892D683174D062021DB71291FF6AB75DCF8B8D32CA6A5851DFA783940800ECD54F2Bo1f0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BB2EF6CA4310C9691FBE2B7BF1E8A41C008788BA17D427606878D2650D42A015D8F36BB75DCE89826DCF7F4909D2A69C8A0F19F0D74Do2fBF" TargetMode="External"/><Relationship Id="rId19" Type="http://schemas.openxmlformats.org/officeDocument/2006/relationships/hyperlink" Target="consultantplus://offline/ref=93BB2EF6CA4310C9691FBE2B7BF1E8A4170A818EB219892D683174D062021DB71291FF6AB75DCF8D8F32CA6A5851DFA783940800ECD54F2Bo1f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B2EF6CA4310C9691FBE2B7BF1E8A4140E828BBC1A892D683174D062021DB71291FF6AB75DCF8C8A32CA6A5851DFA783940800ECD54F2Bo1f0F" TargetMode="External"/><Relationship Id="rId14" Type="http://schemas.openxmlformats.org/officeDocument/2006/relationships/hyperlink" Target="consultantplus://offline/ref=93BB2EF6CA4310C9691FBE2B7BF1E8A4160D898EBD15892D683174D062021DB71291FF6AB75DCF8C8E32CA6A5851DFA783940800ECD54F2Bo1f0F" TargetMode="External"/><Relationship Id="rId22" Type="http://schemas.openxmlformats.org/officeDocument/2006/relationships/hyperlink" Target="consultantplus://offline/ref=93BB2EF6CA4310C9691FBE2B7BF1E8A41609858CB91E892D683174D062021DB70091A766B75CD18D8E279C3B1Eo0f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8914</Words>
  <Characters>50811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</dc:creator>
  <cp:lastModifiedBy>Лядов</cp:lastModifiedBy>
  <cp:revision>1</cp:revision>
  <dcterms:created xsi:type="dcterms:W3CDTF">2022-07-01T05:31:00Z</dcterms:created>
  <dcterms:modified xsi:type="dcterms:W3CDTF">2022-07-01T05:32:00Z</dcterms:modified>
</cp:coreProperties>
</file>